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B696" w14:textId="77777777" w:rsidR="00FB26B3" w:rsidRDefault="00FB26B3" w:rsidP="00FB26B3">
      <w:pPr>
        <w:ind w:left="0"/>
        <w:rPr>
          <w:rFonts w:asciiTheme="minorHAnsi" w:hAnsiTheme="minorHAnsi"/>
          <w:b/>
          <w:sz w:val="44"/>
          <w:lang w:val="en-US"/>
        </w:rPr>
      </w:pPr>
      <w:r w:rsidRPr="00FB26B3">
        <w:rPr>
          <w:rFonts w:asciiTheme="minorHAnsi" w:hAnsiTheme="minorHAnsi"/>
          <w:b/>
          <w:sz w:val="44"/>
          <w:lang w:val="en-US"/>
        </w:rPr>
        <w:t>CTOH fine-scale ocean activities for SWOT</w:t>
      </w:r>
    </w:p>
    <w:p w14:paraId="7B073D62" w14:textId="77777777" w:rsidR="00862B2F" w:rsidRPr="00FB26B3" w:rsidRDefault="00862B2F" w:rsidP="00FB26B3">
      <w:pPr>
        <w:ind w:left="0"/>
        <w:rPr>
          <w:rFonts w:asciiTheme="minorHAnsi" w:hAnsiTheme="minorHAnsi"/>
          <w:b/>
          <w:sz w:val="44"/>
          <w:lang w:val="en-US"/>
        </w:rPr>
      </w:pPr>
    </w:p>
    <w:tbl>
      <w:tblPr>
        <w:tblStyle w:val="Grille"/>
        <w:tblW w:w="9180" w:type="dxa"/>
        <w:tblLook w:val="04A0" w:firstRow="1" w:lastRow="0" w:firstColumn="1" w:lastColumn="0" w:noHBand="0" w:noVBand="1"/>
      </w:tblPr>
      <w:tblGrid>
        <w:gridCol w:w="7479"/>
        <w:gridCol w:w="1701"/>
      </w:tblGrid>
      <w:tr w:rsidR="00862B2F" w14:paraId="6BA71E92" w14:textId="77777777" w:rsidTr="00862B2F">
        <w:tc>
          <w:tcPr>
            <w:tcW w:w="7479" w:type="dxa"/>
            <w:tcBorders>
              <w:top w:val="nil"/>
              <w:left w:val="nil"/>
              <w:bottom w:val="nil"/>
              <w:right w:val="nil"/>
            </w:tcBorders>
          </w:tcPr>
          <w:p w14:paraId="78F0BD0A" w14:textId="77777777" w:rsidR="00862B2F" w:rsidRPr="00862B2F" w:rsidRDefault="00862B2F" w:rsidP="00BE1742">
            <w:pPr>
              <w:ind w:left="0"/>
              <w:rPr>
                <w:rFonts w:asciiTheme="minorHAnsi" w:hAnsiTheme="minorHAnsi"/>
                <w:sz w:val="25"/>
                <w:szCs w:val="25"/>
                <w:lang w:val="en-US"/>
              </w:rPr>
            </w:pPr>
            <w:r w:rsidRPr="00862B2F">
              <w:rPr>
                <w:rFonts w:asciiTheme="minorHAnsi" w:hAnsiTheme="minorHAnsi"/>
                <w:color w:val="0000FF"/>
                <w:sz w:val="25"/>
                <w:szCs w:val="25"/>
                <w:lang w:val="en-US"/>
              </w:rPr>
              <w:t>Rosemary MORROW</w:t>
            </w:r>
            <w:r w:rsidRPr="00862B2F">
              <w:rPr>
                <w:rFonts w:asciiTheme="minorHAnsi" w:hAnsiTheme="minorHAnsi"/>
                <w:sz w:val="25"/>
                <w:szCs w:val="25"/>
                <w:lang w:val="en-US"/>
              </w:rPr>
              <w:t xml:space="preserve">, Florence Birol, Fernando Nino, Oscar Vergara </w:t>
            </w:r>
          </w:p>
          <w:p w14:paraId="46911042" w14:textId="073EF5BF" w:rsidR="00862B2F" w:rsidRPr="00862B2F" w:rsidRDefault="00862B2F" w:rsidP="00BE1742">
            <w:pPr>
              <w:ind w:left="0"/>
              <w:rPr>
                <w:rFonts w:asciiTheme="minorHAnsi" w:hAnsiTheme="minorHAnsi"/>
                <w:i/>
                <w:color w:val="808080" w:themeColor="background1" w:themeShade="80"/>
                <w:sz w:val="24"/>
                <w:lang w:val="en-US"/>
              </w:rPr>
            </w:pPr>
            <w:r w:rsidRPr="00862B2F">
              <w:rPr>
                <w:rFonts w:asciiTheme="minorHAnsi" w:hAnsiTheme="minorHAnsi"/>
                <w:i/>
                <w:color w:val="808080" w:themeColor="background1" w:themeShade="80"/>
                <w:sz w:val="24"/>
                <w:lang w:val="en-US"/>
              </w:rPr>
              <w:t>LEGOS CNRS/CNES/IRD/University Toulouse III, Toulouse, France</w:t>
            </w:r>
          </w:p>
          <w:p w14:paraId="41DE7744" w14:textId="77777777" w:rsidR="00862B2F" w:rsidRDefault="00862B2F" w:rsidP="00862B2F">
            <w:pPr>
              <w:ind w:left="0"/>
              <w:rPr>
                <w:rFonts w:asciiTheme="minorHAnsi" w:hAnsiTheme="minorHAnsi"/>
                <w:sz w:val="24"/>
                <w:szCs w:val="24"/>
                <w:lang w:val="en-US"/>
              </w:rPr>
            </w:pPr>
          </w:p>
          <w:p w14:paraId="089671C0" w14:textId="0B9CF514" w:rsidR="00862B2F" w:rsidRDefault="00862B2F" w:rsidP="00862B2F">
            <w:pPr>
              <w:ind w:left="0"/>
              <w:rPr>
                <w:rFonts w:asciiTheme="minorHAnsi" w:hAnsiTheme="minorHAnsi"/>
                <w:sz w:val="24"/>
                <w:szCs w:val="24"/>
                <w:lang w:val="en-US"/>
              </w:rPr>
            </w:pPr>
            <w:r>
              <w:rPr>
                <w:rFonts w:asciiTheme="minorHAnsi" w:hAnsiTheme="minorHAnsi"/>
                <w:sz w:val="24"/>
                <w:szCs w:val="24"/>
                <w:lang w:val="en-US"/>
              </w:rPr>
              <w:t xml:space="preserve">Collaborators </w:t>
            </w:r>
            <w:r w:rsidRPr="00FB26B3">
              <w:rPr>
                <w:rFonts w:asciiTheme="minorHAnsi" w:hAnsiTheme="minorHAnsi"/>
                <w:sz w:val="24"/>
                <w:szCs w:val="24"/>
                <w:lang w:val="en-US"/>
              </w:rPr>
              <w:t xml:space="preserve">: Fabien Lèger, Fabien Blarel </w:t>
            </w:r>
          </w:p>
          <w:p w14:paraId="0E9694FD" w14:textId="10AF2257" w:rsidR="00862B2F" w:rsidRPr="00862B2F" w:rsidRDefault="00862B2F" w:rsidP="00862B2F">
            <w:pPr>
              <w:ind w:left="0"/>
              <w:rPr>
                <w:rFonts w:asciiTheme="minorHAnsi" w:hAnsiTheme="minorHAnsi"/>
                <w:i/>
                <w:color w:val="808080" w:themeColor="background1" w:themeShade="80"/>
                <w:lang w:val="en-US"/>
              </w:rPr>
            </w:pPr>
            <w:r w:rsidRPr="00862B2F">
              <w:rPr>
                <w:rFonts w:asciiTheme="minorHAnsi" w:hAnsiTheme="minorHAnsi"/>
                <w:i/>
                <w:color w:val="808080" w:themeColor="background1" w:themeShade="80"/>
                <w:sz w:val="24"/>
                <w:lang w:val="en-US"/>
              </w:rPr>
              <w:t>LEGOS CNRS/CNES/IRD/University Toulouse III, Toulouse, France</w:t>
            </w:r>
          </w:p>
          <w:p w14:paraId="7A39423E" w14:textId="77777777" w:rsidR="00862B2F" w:rsidRDefault="00862B2F" w:rsidP="00BE1742">
            <w:pPr>
              <w:ind w:left="0"/>
              <w:rPr>
                <w:rFonts w:asciiTheme="minorHAnsi" w:hAnsiTheme="minorHAnsi"/>
                <w:lang w:val="en-US"/>
              </w:rPr>
            </w:pPr>
          </w:p>
        </w:tc>
        <w:tc>
          <w:tcPr>
            <w:tcW w:w="1701" w:type="dxa"/>
            <w:tcBorders>
              <w:top w:val="nil"/>
              <w:left w:val="nil"/>
              <w:bottom w:val="nil"/>
              <w:right w:val="nil"/>
            </w:tcBorders>
          </w:tcPr>
          <w:p w14:paraId="2FA86E95" w14:textId="34423614" w:rsidR="00862B2F" w:rsidRDefault="00862B2F" w:rsidP="00FB26B3">
            <w:pPr>
              <w:ind w:left="0"/>
              <w:rPr>
                <w:b/>
                <w:lang w:val="en-US"/>
              </w:rPr>
            </w:pPr>
            <w:r>
              <w:rPr>
                <w:b/>
                <w:noProof/>
                <w:lang w:eastAsia="fr-FR"/>
              </w:rPr>
              <w:drawing>
                <wp:inline distT="0" distB="0" distL="0" distR="0" wp14:anchorId="6B216E69" wp14:editId="6C4349B8">
                  <wp:extent cx="930442" cy="930442"/>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OHlogo.jpeg"/>
                          <pic:cNvPicPr/>
                        </pic:nvPicPr>
                        <pic:blipFill>
                          <a:blip r:embed="rId8">
                            <a:extLst>
                              <a:ext uri="{28A0092B-C50C-407E-A947-70E740481C1C}">
                                <a14:useLocalDpi xmlns:a14="http://schemas.microsoft.com/office/drawing/2010/main" val="0"/>
                              </a:ext>
                            </a:extLst>
                          </a:blip>
                          <a:stretch>
                            <a:fillRect/>
                          </a:stretch>
                        </pic:blipFill>
                        <pic:spPr>
                          <a:xfrm>
                            <a:off x="0" y="0"/>
                            <a:ext cx="930756" cy="930756"/>
                          </a:xfrm>
                          <a:prstGeom prst="rect">
                            <a:avLst/>
                          </a:prstGeom>
                        </pic:spPr>
                      </pic:pic>
                    </a:graphicData>
                  </a:graphic>
                </wp:inline>
              </w:drawing>
            </w:r>
          </w:p>
        </w:tc>
      </w:tr>
    </w:tbl>
    <w:p w14:paraId="18C999A2" w14:textId="77777777" w:rsidR="00FB26B3" w:rsidRDefault="00FB26B3" w:rsidP="00FB26B3">
      <w:pPr>
        <w:rPr>
          <w:b/>
          <w:lang w:val="en-US"/>
        </w:rPr>
      </w:pPr>
    </w:p>
    <w:p w14:paraId="09179733" w14:textId="77777777" w:rsidR="00FB26B3" w:rsidRPr="00FB26B3" w:rsidRDefault="00FB26B3" w:rsidP="00FB26B3">
      <w:pPr>
        <w:ind w:left="0"/>
        <w:jc w:val="both"/>
        <w:rPr>
          <w:rFonts w:asciiTheme="minorHAnsi" w:hAnsiTheme="minorHAnsi"/>
          <w:sz w:val="22"/>
          <w:szCs w:val="22"/>
          <w:lang w:val="en-US"/>
        </w:rPr>
      </w:pPr>
      <w:r w:rsidRPr="00FB26B3">
        <w:rPr>
          <w:rFonts w:asciiTheme="minorHAnsi" w:hAnsiTheme="minorHAnsi"/>
          <w:sz w:val="22"/>
          <w:szCs w:val="22"/>
          <w:lang w:val="en-US"/>
        </w:rPr>
        <w:t xml:space="preserve">This proposal covers the planned activities for ocean studies with SWOT data at the French National Data Service, the SNO CTOH (ctoh.legos.obs-mip.fr). </w:t>
      </w:r>
      <w:r w:rsidRPr="00FB26B3">
        <w:rPr>
          <w:rFonts w:asciiTheme="minorHAnsi" w:hAnsiTheme="minorHAnsi"/>
          <w:sz w:val="22"/>
          <w:szCs w:val="22"/>
          <w:lang w:val="en-US" w:eastAsia="fr-FR"/>
        </w:rPr>
        <w:t xml:space="preserve">The Service Nationale d’Observation CTOH has been dedicated to satellite altimetry studies for 30 years (starting in 1989 with Geosat data). We work on understanding and improving the altimetric measurements over open ocean, coastal, continental surface waters and the cryosphere. Our mission is to develop new altimetric applications and demonstration products, to accompany scientific users in the use of satellite altimetry, and to provide expertise to the space agencies. </w:t>
      </w:r>
    </w:p>
    <w:p w14:paraId="69102D9B" w14:textId="77777777" w:rsidR="00FB26B3" w:rsidRPr="00FB26B3" w:rsidRDefault="00FB26B3" w:rsidP="00FB26B3">
      <w:pPr>
        <w:ind w:left="0"/>
        <w:jc w:val="both"/>
        <w:rPr>
          <w:rFonts w:asciiTheme="minorHAnsi" w:hAnsiTheme="minorHAnsi"/>
          <w:sz w:val="22"/>
          <w:szCs w:val="22"/>
          <w:lang w:val="en-US" w:eastAsia="fr-FR"/>
        </w:rPr>
      </w:pPr>
    </w:p>
    <w:p w14:paraId="2CB28859" w14:textId="24C9116E" w:rsidR="00FB26B3" w:rsidRPr="00FB26B3" w:rsidRDefault="00FB26B3" w:rsidP="00FB26B3">
      <w:pPr>
        <w:ind w:left="0"/>
        <w:jc w:val="both"/>
        <w:rPr>
          <w:rFonts w:asciiTheme="minorHAnsi" w:hAnsiTheme="minorHAnsi"/>
          <w:sz w:val="22"/>
          <w:szCs w:val="22"/>
          <w:lang w:val="en-US" w:eastAsia="fr-FR"/>
        </w:rPr>
      </w:pPr>
      <w:r w:rsidRPr="00FB26B3">
        <w:rPr>
          <w:rFonts w:asciiTheme="minorHAnsi" w:hAnsiTheme="minorHAnsi"/>
          <w:sz w:val="22"/>
          <w:szCs w:val="22"/>
          <w:lang w:val="en-US" w:eastAsia="fr-FR"/>
        </w:rPr>
        <w:t xml:space="preserve">This proposal continues our work using satellite altimetry over the open-ocean and coastal regions and extends it based on the new SWOT SAR-interferometric measurements. We believe our ongoing science investigations will greatly benefit from having the SWOT 2D fine-scale observations, in understanding the ocean’s energy cascade, in understanding the scales and regions where unbalanced high-frequency motions impact on SSH, in exploring the 2D ocean anisotropy and eddy fluxes, in understanding the </w:t>
      </w:r>
      <w:r w:rsidR="00874961">
        <w:rPr>
          <w:rFonts w:asciiTheme="minorHAnsi" w:hAnsiTheme="minorHAnsi"/>
          <w:sz w:val="22"/>
          <w:szCs w:val="22"/>
          <w:lang w:val="en-US" w:eastAsia="fr-FR"/>
        </w:rPr>
        <w:t xml:space="preserve">fine-scale </w:t>
      </w:r>
      <w:r w:rsidRPr="00FB26B3">
        <w:rPr>
          <w:rFonts w:asciiTheme="minorHAnsi" w:hAnsiTheme="minorHAnsi"/>
          <w:sz w:val="22"/>
          <w:szCs w:val="22"/>
          <w:lang w:val="en-US" w:eastAsia="fr-FR"/>
        </w:rPr>
        <w:t xml:space="preserve">vertical structure and </w:t>
      </w:r>
      <w:r w:rsidR="00874961">
        <w:rPr>
          <w:rFonts w:asciiTheme="minorHAnsi" w:hAnsiTheme="minorHAnsi"/>
          <w:sz w:val="22"/>
          <w:szCs w:val="22"/>
          <w:lang w:val="en-US" w:eastAsia="fr-FR"/>
        </w:rPr>
        <w:t xml:space="preserve">the </w:t>
      </w:r>
      <w:r w:rsidRPr="00FB26B3">
        <w:rPr>
          <w:rFonts w:asciiTheme="minorHAnsi" w:hAnsiTheme="minorHAnsi"/>
          <w:sz w:val="22"/>
          <w:szCs w:val="22"/>
          <w:lang w:val="en-US" w:eastAsia="fr-FR"/>
        </w:rPr>
        <w:t xml:space="preserve">spatial offsets between surface </w:t>
      </w:r>
      <w:r w:rsidR="00874961">
        <w:rPr>
          <w:rFonts w:asciiTheme="minorHAnsi" w:hAnsiTheme="minorHAnsi"/>
          <w:sz w:val="22"/>
          <w:szCs w:val="22"/>
          <w:lang w:val="en-US" w:eastAsia="fr-FR"/>
        </w:rPr>
        <w:t xml:space="preserve">tracer </w:t>
      </w:r>
      <w:r w:rsidRPr="00FB26B3">
        <w:rPr>
          <w:rFonts w:asciiTheme="minorHAnsi" w:hAnsiTheme="minorHAnsi"/>
          <w:sz w:val="22"/>
          <w:szCs w:val="22"/>
          <w:lang w:val="en-US" w:eastAsia="fr-FR"/>
        </w:rPr>
        <w:t xml:space="preserve">fronts and </w:t>
      </w:r>
      <w:r w:rsidR="00874961">
        <w:rPr>
          <w:rFonts w:asciiTheme="minorHAnsi" w:hAnsiTheme="minorHAnsi"/>
          <w:sz w:val="22"/>
          <w:szCs w:val="22"/>
          <w:lang w:val="en-US" w:eastAsia="fr-FR"/>
        </w:rPr>
        <w:t xml:space="preserve">the </w:t>
      </w:r>
      <w:r w:rsidRPr="00FB26B3">
        <w:rPr>
          <w:rFonts w:asciiTheme="minorHAnsi" w:hAnsiTheme="minorHAnsi"/>
          <w:sz w:val="22"/>
          <w:szCs w:val="22"/>
          <w:lang w:val="en-US" w:eastAsia="fr-FR"/>
        </w:rPr>
        <w:t>eddies and sub-surface fronts</w:t>
      </w:r>
      <w:r w:rsidR="00874961">
        <w:rPr>
          <w:rFonts w:asciiTheme="minorHAnsi" w:hAnsiTheme="minorHAnsi"/>
          <w:sz w:val="22"/>
          <w:szCs w:val="22"/>
          <w:lang w:val="en-US" w:eastAsia="fr-FR"/>
        </w:rPr>
        <w:t xml:space="preserve"> detected via SSH. </w:t>
      </w:r>
      <w:r w:rsidRPr="00FB26B3">
        <w:rPr>
          <w:rFonts w:asciiTheme="minorHAnsi" w:hAnsiTheme="minorHAnsi"/>
          <w:sz w:val="22"/>
          <w:szCs w:val="22"/>
          <w:lang w:val="en-US" w:eastAsia="fr-FR"/>
        </w:rPr>
        <w:t xml:space="preserve"> </w:t>
      </w:r>
      <w:r w:rsidR="00874961">
        <w:rPr>
          <w:rFonts w:asciiTheme="minorHAnsi" w:hAnsiTheme="minorHAnsi"/>
          <w:sz w:val="22"/>
          <w:szCs w:val="22"/>
          <w:lang w:val="en-US" w:eastAsia="fr-FR"/>
        </w:rPr>
        <w:t>SWOT will also be used to extend</w:t>
      </w:r>
      <w:r w:rsidRPr="00FB26B3">
        <w:rPr>
          <w:rFonts w:asciiTheme="minorHAnsi" w:hAnsiTheme="minorHAnsi"/>
          <w:sz w:val="22"/>
          <w:szCs w:val="22"/>
          <w:lang w:val="en-US" w:eastAsia="fr-FR"/>
        </w:rPr>
        <w:t xml:space="preserve"> our unders</w:t>
      </w:r>
      <w:r w:rsidR="00874961">
        <w:rPr>
          <w:rFonts w:asciiTheme="minorHAnsi" w:hAnsiTheme="minorHAnsi"/>
          <w:sz w:val="22"/>
          <w:szCs w:val="22"/>
          <w:lang w:val="en-US" w:eastAsia="fr-FR"/>
        </w:rPr>
        <w:t>tanding of SSH observations in</w:t>
      </w:r>
      <w:r w:rsidRPr="00FB26B3">
        <w:rPr>
          <w:rFonts w:asciiTheme="minorHAnsi" w:hAnsiTheme="minorHAnsi"/>
          <w:sz w:val="22"/>
          <w:szCs w:val="22"/>
          <w:lang w:val="en-US" w:eastAsia="fr-FR"/>
        </w:rPr>
        <w:t xml:space="preserve"> the coastal zone, where the ocean variations are strongly anisotropic. </w:t>
      </w:r>
    </w:p>
    <w:p w14:paraId="58258D88" w14:textId="77777777" w:rsidR="00FB26B3" w:rsidRPr="00FB26B3" w:rsidRDefault="00FB26B3" w:rsidP="00FB26B3">
      <w:pPr>
        <w:ind w:left="0"/>
        <w:jc w:val="both"/>
        <w:rPr>
          <w:rFonts w:asciiTheme="minorHAnsi" w:hAnsiTheme="minorHAnsi"/>
          <w:sz w:val="22"/>
          <w:szCs w:val="22"/>
          <w:lang w:val="en-US" w:eastAsia="fr-FR"/>
        </w:rPr>
      </w:pPr>
    </w:p>
    <w:p w14:paraId="33B37406" w14:textId="77777777" w:rsidR="00FB26B3" w:rsidRPr="00FB26B3" w:rsidRDefault="00FB26B3" w:rsidP="00FB26B3">
      <w:pPr>
        <w:ind w:left="0"/>
        <w:jc w:val="both"/>
        <w:rPr>
          <w:rFonts w:asciiTheme="minorHAnsi" w:hAnsiTheme="minorHAnsi"/>
          <w:sz w:val="22"/>
          <w:szCs w:val="22"/>
          <w:lang w:val="en-US" w:eastAsia="fr-FR"/>
        </w:rPr>
      </w:pPr>
      <w:r w:rsidRPr="00FB26B3">
        <w:rPr>
          <w:rFonts w:asciiTheme="minorHAnsi" w:hAnsiTheme="minorHAnsi"/>
          <w:sz w:val="22"/>
          <w:szCs w:val="22"/>
          <w:lang w:val="en-US" w:eastAsia="fr-FR"/>
        </w:rPr>
        <w:t>Furthermore, as we move to finer-scale ocean dynamics, the amplitude of the SSH signal is weak, and we need to pay careful attention to how the altimetric corrections and errors impact on the SSH. We have confidence that SWOT will reach its global error budget and meet its mission requirements, but users still need to understand how the errors impact the local SSH – in regions and in the coastal zone. Our studies will help quantify this.</w:t>
      </w:r>
    </w:p>
    <w:p w14:paraId="0676C6F3" w14:textId="77777777" w:rsidR="00FB26B3" w:rsidRPr="00FB26B3" w:rsidRDefault="00FB26B3" w:rsidP="00FB26B3">
      <w:pPr>
        <w:ind w:left="0"/>
        <w:jc w:val="both"/>
        <w:rPr>
          <w:rFonts w:asciiTheme="minorHAnsi" w:hAnsiTheme="minorHAnsi"/>
          <w:sz w:val="22"/>
          <w:szCs w:val="22"/>
          <w:lang w:val="en-US" w:eastAsia="fr-FR"/>
        </w:rPr>
      </w:pPr>
    </w:p>
    <w:p w14:paraId="15BB17AB" w14:textId="77777777" w:rsidR="00FB26B3" w:rsidRPr="00FB26B3" w:rsidRDefault="00FB26B3" w:rsidP="00FB26B3">
      <w:pPr>
        <w:ind w:left="0"/>
        <w:jc w:val="both"/>
        <w:rPr>
          <w:rFonts w:asciiTheme="minorHAnsi" w:hAnsiTheme="minorHAnsi"/>
          <w:sz w:val="22"/>
          <w:szCs w:val="22"/>
          <w:lang w:val="en-US" w:eastAsia="fr-FR"/>
        </w:rPr>
      </w:pPr>
      <w:r>
        <w:rPr>
          <w:rFonts w:asciiTheme="minorHAnsi" w:hAnsiTheme="minorHAnsi"/>
          <w:sz w:val="22"/>
          <w:szCs w:val="22"/>
          <w:lang w:val="en-US" w:eastAsia="fr-FR"/>
        </w:rPr>
        <w:t>W</w:t>
      </w:r>
      <w:r w:rsidRPr="00FB26B3">
        <w:rPr>
          <w:rFonts w:asciiTheme="minorHAnsi" w:hAnsiTheme="minorHAnsi"/>
          <w:sz w:val="22"/>
          <w:szCs w:val="22"/>
          <w:lang w:val="en-US" w:eastAsia="fr-FR"/>
        </w:rPr>
        <w:t>e are a « Service » and we aim with this proposal to provide a service to the SWOT Science community, by accompanying them with this new large-volume data set, using new technology, new observations (eg SAR images colocated with 2D SSH data), and helping them to best utilize the new data. For this Service, we will work in close relation with the scientific users, the SWOT Project and the CNES/CLS SWOT data groups. The expertise brought to the mission, from the CTOH in general and from the SWOT Ocean Lead in particular, is also part of our Service.</w:t>
      </w:r>
    </w:p>
    <w:p w14:paraId="4587C839" w14:textId="77777777" w:rsidR="00FB26B3" w:rsidRDefault="00FB26B3" w:rsidP="00FB26B3">
      <w:pPr>
        <w:ind w:left="0"/>
        <w:jc w:val="both"/>
        <w:rPr>
          <w:rFonts w:asciiTheme="minorHAnsi" w:hAnsiTheme="minorHAnsi"/>
          <w:sz w:val="22"/>
          <w:szCs w:val="22"/>
          <w:lang w:val="en-US"/>
        </w:rPr>
      </w:pPr>
    </w:p>
    <w:p w14:paraId="05190907" w14:textId="718DF29D" w:rsidR="00FB26B3" w:rsidRPr="00FB26B3" w:rsidRDefault="00FB26B3" w:rsidP="00FB26B3">
      <w:pPr>
        <w:ind w:left="0"/>
        <w:jc w:val="both"/>
        <w:rPr>
          <w:rFonts w:asciiTheme="minorHAnsi" w:hAnsiTheme="minorHAnsi"/>
          <w:sz w:val="22"/>
          <w:szCs w:val="22"/>
          <w:lang w:val="en-US"/>
        </w:rPr>
      </w:pPr>
      <w:r w:rsidRPr="00FB26B3">
        <w:rPr>
          <w:rFonts w:asciiTheme="minorHAnsi" w:hAnsiTheme="minorHAnsi"/>
          <w:sz w:val="22"/>
          <w:szCs w:val="22"/>
          <w:lang w:val="en-US"/>
        </w:rPr>
        <w:t xml:space="preserve">Our work plan </w:t>
      </w:r>
      <w:r w:rsidR="00AD515A">
        <w:rPr>
          <w:rFonts w:asciiTheme="minorHAnsi" w:hAnsiTheme="minorHAnsi"/>
          <w:sz w:val="22"/>
          <w:szCs w:val="22"/>
          <w:lang w:val="en-US"/>
        </w:rPr>
        <w:t>over 2020-2024 is during</w:t>
      </w:r>
      <w:r w:rsidRPr="00FB26B3">
        <w:rPr>
          <w:rFonts w:asciiTheme="minorHAnsi" w:hAnsiTheme="minorHAnsi"/>
          <w:sz w:val="22"/>
          <w:szCs w:val="22"/>
          <w:lang w:val="en-US"/>
        </w:rPr>
        <w:t xml:space="preserve"> a critical period for SWOT</w:t>
      </w:r>
      <w:r w:rsidR="00AD515A">
        <w:rPr>
          <w:rFonts w:asciiTheme="minorHAnsi" w:hAnsiTheme="minorHAnsi"/>
          <w:sz w:val="22"/>
          <w:szCs w:val="22"/>
          <w:lang w:val="en-US"/>
        </w:rPr>
        <w:t>,</w:t>
      </w:r>
      <w:r w:rsidRPr="00FB26B3">
        <w:rPr>
          <w:rFonts w:asciiTheme="minorHAnsi" w:hAnsiTheme="minorHAnsi"/>
          <w:sz w:val="22"/>
          <w:szCs w:val="22"/>
          <w:lang w:val="en-US"/>
        </w:rPr>
        <w:t xml:space="preserve"> covering the pre-launch preparation, the launch (nominally in February 2022), the validation phase during the first 6 months in the SWOT Fast-sampling 1-day orbit, and then continuing into the nominal 21-day repeat orbit from </w:t>
      </w:r>
      <w:r w:rsidR="00AD515A">
        <w:rPr>
          <w:rFonts w:asciiTheme="minorHAnsi" w:hAnsiTheme="minorHAnsi"/>
          <w:sz w:val="22"/>
          <w:szCs w:val="22"/>
          <w:lang w:val="en-US"/>
        </w:rPr>
        <w:t>August</w:t>
      </w:r>
      <w:r w:rsidRPr="00FB26B3">
        <w:rPr>
          <w:rFonts w:asciiTheme="minorHAnsi" w:hAnsiTheme="minorHAnsi"/>
          <w:sz w:val="22"/>
          <w:szCs w:val="22"/>
          <w:lang w:val="en-US"/>
        </w:rPr>
        <w:t xml:space="preserve"> 2022 onward.  The SNO CTOH plans to contribute to the SWOT exploitation and validation in </w:t>
      </w:r>
      <w:r w:rsidR="005C5C5C">
        <w:rPr>
          <w:rFonts w:asciiTheme="minorHAnsi" w:hAnsiTheme="minorHAnsi"/>
          <w:sz w:val="22"/>
          <w:szCs w:val="22"/>
          <w:lang w:val="en-US"/>
        </w:rPr>
        <w:t>different</w:t>
      </w:r>
      <w:r w:rsidRPr="00FB26B3">
        <w:rPr>
          <w:rFonts w:asciiTheme="minorHAnsi" w:hAnsiTheme="minorHAnsi"/>
          <w:sz w:val="22"/>
          <w:szCs w:val="22"/>
          <w:lang w:val="en-US"/>
        </w:rPr>
        <w:t xml:space="preserve"> ways :</w:t>
      </w:r>
    </w:p>
    <w:p w14:paraId="2C7C0E9C" w14:textId="77777777" w:rsidR="00FB26B3" w:rsidRPr="00FB26B3" w:rsidRDefault="00FB26B3" w:rsidP="00FB26B3">
      <w:pPr>
        <w:ind w:left="0"/>
        <w:jc w:val="both"/>
        <w:rPr>
          <w:rFonts w:asciiTheme="minorHAnsi" w:hAnsiTheme="minorHAnsi"/>
          <w:sz w:val="22"/>
          <w:szCs w:val="22"/>
          <w:lang w:val="en-US"/>
        </w:rPr>
      </w:pPr>
    </w:p>
    <w:p w14:paraId="2C1F0BA4" w14:textId="34CE5CDF" w:rsidR="00BE1742" w:rsidRDefault="00BE1742" w:rsidP="00FB26B3">
      <w:pPr>
        <w:ind w:left="0"/>
        <w:jc w:val="both"/>
        <w:rPr>
          <w:rFonts w:asciiTheme="minorHAnsi" w:hAnsiTheme="minorHAnsi"/>
          <w:b/>
          <w:sz w:val="22"/>
          <w:szCs w:val="22"/>
          <w:lang w:val="en-US"/>
        </w:rPr>
      </w:pPr>
      <w:r w:rsidRPr="00BE1742">
        <w:rPr>
          <w:rFonts w:asciiTheme="minorHAnsi" w:hAnsiTheme="minorHAnsi"/>
          <w:b/>
          <w:sz w:val="24"/>
          <w:szCs w:val="22"/>
          <w:lang w:val="en-US"/>
        </w:rPr>
        <w:t xml:space="preserve">A) Open-ocean processes </w:t>
      </w:r>
    </w:p>
    <w:p w14:paraId="2E4951F0" w14:textId="3E0E4ADA" w:rsidR="00FB26B3" w:rsidRPr="00BE1742" w:rsidRDefault="00AD515A" w:rsidP="00FB26B3">
      <w:pPr>
        <w:ind w:left="0"/>
        <w:jc w:val="both"/>
        <w:rPr>
          <w:rFonts w:asciiTheme="minorHAnsi" w:hAnsiTheme="minorHAnsi"/>
          <w:sz w:val="22"/>
          <w:szCs w:val="22"/>
          <w:lang w:val="en-US"/>
        </w:rPr>
      </w:pPr>
      <w:r w:rsidRPr="00BE1742">
        <w:rPr>
          <w:rFonts w:asciiTheme="minorHAnsi" w:hAnsiTheme="minorHAnsi"/>
          <w:sz w:val="22"/>
          <w:szCs w:val="22"/>
          <w:lang w:val="en-US"/>
        </w:rPr>
        <w:t>By</w:t>
      </w:r>
      <w:r w:rsidR="00FB26B3" w:rsidRPr="00BE1742">
        <w:rPr>
          <w:rFonts w:asciiTheme="minorHAnsi" w:hAnsiTheme="minorHAnsi"/>
          <w:sz w:val="22"/>
          <w:szCs w:val="22"/>
          <w:lang w:val="en-US"/>
        </w:rPr>
        <w:t xml:space="preserve"> extend</w:t>
      </w:r>
      <w:r w:rsidRPr="00BE1742">
        <w:rPr>
          <w:rFonts w:asciiTheme="minorHAnsi" w:hAnsiTheme="minorHAnsi"/>
          <w:sz w:val="22"/>
          <w:szCs w:val="22"/>
          <w:lang w:val="en-US"/>
        </w:rPr>
        <w:t>ing</w:t>
      </w:r>
      <w:r w:rsidR="00FB26B3" w:rsidRPr="00BE1742">
        <w:rPr>
          <w:rFonts w:asciiTheme="minorHAnsi" w:hAnsiTheme="minorHAnsi"/>
          <w:sz w:val="22"/>
          <w:szCs w:val="22"/>
          <w:lang w:val="en-US"/>
        </w:rPr>
        <w:t xml:space="preserve"> our scientific understanding of the </w:t>
      </w:r>
      <w:r w:rsidR="00BE1742" w:rsidRPr="00BE1742">
        <w:rPr>
          <w:rFonts w:asciiTheme="minorHAnsi" w:hAnsiTheme="minorHAnsi"/>
          <w:sz w:val="22"/>
          <w:szCs w:val="22"/>
          <w:lang w:val="en-US"/>
        </w:rPr>
        <w:t xml:space="preserve">open </w:t>
      </w:r>
      <w:r w:rsidR="00FB26B3" w:rsidRPr="00BE1742">
        <w:rPr>
          <w:rFonts w:asciiTheme="minorHAnsi" w:hAnsiTheme="minorHAnsi"/>
          <w:sz w:val="22"/>
          <w:szCs w:val="22"/>
          <w:lang w:val="en-US"/>
        </w:rPr>
        <w:t xml:space="preserve">ocean’s 2D sea surface height (SSH) structure, its observation with alongtrack and SWOT 2D altimetry and the impact of SWOT errors and corrections on the restitution of SSH fields. </w:t>
      </w:r>
    </w:p>
    <w:p w14:paraId="4DD920CE" w14:textId="77777777" w:rsidR="005C5C5C" w:rsidRDefault="005C5C5C" w:rsidP="00FB26B3">
      <w:pPr>
        <w:ind w:left="0"/>
        <w:jc w:val="both"/>
        <w:rPr>
          <w:rFonts w:asciiTheme="minorHAnsi" w:hAnsiTheme="minorHAnsi"/>
          <w:sz w:val="22"/>
          <w:szCs w:val="22"/>
          <w:lang w:val="en-US"/>
        </w:rPr>
      </w:pPr>
    </w:p>
    <w:p w14:paraId="1DCC56A8" w14:textId="77777777" w:rsidR="005C5C5C" w:rsidRPr="005C5C5C" w:rsidRDefault="005C5C5C" w:rsidP="005C5C5C">
      <w:pPr>
        <w:pStyle w:val="Paragraphedeliste"/>
        <w:numPr>
          <w:ilvl w:val="0"/>
          <w:numId w:val="1"/>
        </w:numPr>
        <w:jc w:val="both"/>
        <w:rPr>
          <w:rFonts w:asciiTheme="minorHAnsi" w:hAnsiTheme="minorHAnsi"/>
          <w:b/>
          <w:sz w:val="22"/>
          <w:szCs w:val="22"/>
          <w:lang w:val="en-US"/>
        </w:rPr>
      </w:pPr>
      <w:r w:rsidRPr="005C5C5C">
        <w:rPr>
          <w:rFonts w:asciiTheme="minorHAnsi" w:hAnsiTheme="minorHAnsi"/>
          <w:b/>
          <w:sz w:val="22"/>
          <w:szCs w:val="22"/>
          <w:lang w:val="en-US"/>
        </w:rPr>
        <w:lastRenderedPageBreak/>
        <w:t>Wavenumber spectral analyses.</w:t>
      </w:r>
    </w:p>
    <w:p w14:paraId="43251A03" w14:textId="5E1AA96E" w:rsidR="005C5C5C" w:rsidRPr="00901198" w:rsidRDefault="005C5C5C" w:rsidP="00901198">
      <w:pPr>
        <w:ind w:left="0"/>
        <w:jc w:val="both"/>
        <w:rPr>
          <w:rFonts w:asciiTheme="minorHAnsi" w:hAnsiTheme="minorHAnsi"/>
          <w:sz w:val="22"/>
          <w:szCs w:val="22"/>
          <w:lang w:val="en-US"/>
        </w:rPr>
      </w:pPr>
      <w:r w:rsidRPr="00901198">
        <w:rPr>
          <w:rFonts w:asciiTheme="minorHAnsi" w:hAnsiTheme="minorHAnsi"/>
          <w:sz w:val="22"/>
          <w:szCs w:val="22"/>
          <w:lang w:val="en-US"/>
        </w:rPr>
        <w:t xml:space="preserve">We will continue our studies to analyse the alongtrack SSH wavenumber spectra from today’s conventional missions (Jason-class), in Ka-band (Saral) and in SAR mode (Sentinel-3). Our aim is to investigate how the ocean’s energy cascade is modified in the presence of balanced and unbalanced motions, in different regions </w:t>
      </w:r>
      <w:r w:rsidR="00AD515A" w:rsidRPr="00901198">
        <w:rPr>
          <w:rFonts w:asciiTheme="minorHAnsi" w:hAnsiTheme="minorHAnsi"/>
          <w:sz w:val="22"/>
          <w:szCs w:val="22"/>
          <w:lang w:val="en-US"/>
        </w:rPr>
        <w:t>having</w:t>
      </w:r>
      <w:r w:rsidRPr="00901198">
        <w:rPr>
          <w:rFonts w:asciiTheme="minorHAnsi" w:hAnsiTheme="minorHAnsi"/>
          <w:sz w:val="22"/>
          <w:szCs w:val="22"/>
          <w:lang w:val="en-US"/>
        </w:rPr>
        <w:t xml:space="preserve"> different dynamical regimes and error levels. We will continue our global wavenumber spectral analyses and calculations of the transition scales </w:t>
      </w:r>
      <w:r w:rsidR="00AD515A" w:rsidRPr="00901198">
        <w:rPr>
          <w:rFonts w:asciiTheme="minorHAnsi" w:hAnsiTheme="minorHAnsi"/>
          <w:sz w:val="22"/>
          <w:szCs w:val="22"/>
          <w:lang w:val="en-US"/>
        </w:rPr>
        <w:t xml:space="preserve">(the length scale at which </w:t>
      </w:r>
      <w:r w:rsidRPr="00901198">
        <w:rPr>
          <w:rFonts w:asciiTheme="minorHAnsi" w:hAnsiTheme="minorHAnsi"/>
          <w:sz w:val="22"/>
          <w:szCs w:val="22"/>
          <w:lang w:val="en-US"/>
        </w:rPr>
        <w:t>the spectral energy from unbalanced motions dominates those of balanced motions</w:t>
      </w:r>
      <w:r w:rsidR="00AD515A" w:rsidRPr="00901198">
        <w:rPr>
          <w:rFonts w:asciiTheme="minorHAnsi" w:hAnsiTheme="minorHAnsi"/>
          <w:sz w:val="22"/>
          <w:szCs w:val="22"/>
          <w:lang w:val="en-US"/>
        </w:rPr>
        <w:t>)</w:t>
      </w:r>
      <w:r w:rsidRPr="00901198">
        <w:rPr>
          <w:rFonts w:asciiTheme="minorHAnsi" w:hAnsiTheme="minorHAnsi"/>
          <w:sz w:val="22"/>
          <w:szCs w:val="22"/>
          <w:lang w:val="en-US"/>
        </w:rPr>
        <w:t>. We also aim to perform a closer investigation in different dynamical regimes where LEGOS has expertise : in the tropics (New Caledonia, Gulf of Guinea, Amazon) ; in mid latitude regions (Bay of Biscay, Mediterranean Sea, South China Sea) and in high latitudes (Southern Ocean south of Tasmania).</w:t>
      </w:r>
    </w:p>
    <w:p w14:paraId="765F2A3E" w14:textId="77777777" w:rsidR="00AD515A" w:rsidRDefault="00AD515A" w:rsidP="005C5C5C">
      <w:pPr>
        <w:pStyle w:val="Paragraphedeliste"/>
        <w:jc w:val="both"/>
        <w:rPr>
          <w:rFonts w:asciiTheme="minorHAnsi" w:hAnsiTheme="minorHAnsi"/>
          <w:sz w:val="22"/>
          <w:szCs w:val="22"/>
          <w:lang w:val="en-US"/>
        </w:rPr>
      </w:pPr>
    </w:p>
    <w:p w14:paraId="0163BAA9" w14:textId="77777777" w:rsidR="005C5C5C" w:rsidRDefault="005C5C5C" w:rsidP="005C5C5C">
      <w:pPr>
        <w:ind w:left="0"/>
        <w:jc w:val="both"/>
        <w:rPr>
          <w:rFonts w:asciiTheme="minorHAnsi" w:hAnsiTheme="minorHAnsi"/>
          <w:sz w:val="22"/>
          <w:szCs w:val="22"/>
          <w:lang w:val="en-US"/>
        </w:rPr>
      </w:pPr>
      <w:r w:rsidRPr="00531A09">
        <w:rPr>
          <w:noProof/>
          <w:sz w:val="22"/>
          <w:szCs w:val="22"/>
          <w:lang w:eastAsia="fr-FR"/>
        </w:rPr>
        <w:drawing>
          <wp:inline distT="0" distB="0" distL="0" distR="0" wp14:anchorId="60B261F8" wp14:editId="36654A86">
            <wp:extent cx="4572000" cy="3517900"/>
            <wp:effectExtent l="0" t="0" r="0" b="12700"/>
            <wp:docPr id="2" name="Image 2073922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739222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0" cy="3517900"/>
                    </a:xfrm>
                    <a:prstGeom prst="rect">
                      <a:avLst/>
                    </a:prstGeom>
                    <a:noFill/>
                    <a:ln>
                      <a:noFill/>
                    </a:ln>
                  </pic:spPr>
                </pic:pic>
              </a:graphicData>
            </a:graphic>
          </wp:inline>
        </w:drawing>
      </w:r>
    </w:p>
    <w:p w14:paraId="69FCA981" w14:textId="77777777" w:rsidR="005C5C5C" w:rsidRPr="00531A09" w:rsidRDefault="005C5C5C" w:rsidP="005C5C5C">
      <w:pPr>
        <w:ind w:left="0"/>
        <w:jc w:val="center"/>
        <w:rPr>
          <w:rFonts w:eastAsia="Times New Roman"/>
          <w:i/>
          <w:color w:val="000000"/>
          <w:sz w:val="22"/>
          <w:szCs w:val="22"/>
          <w:lang w:val="en-US"/>
        </w:rPr>
      </w:pPr>
      <w:r>
        <w:rPr>
          <w:rFonts w:eastAsia="Times New Roman"/>
          <w:i/>
          <w:color w:val="000000"/>
          <w:sz w:val="22"/>
          <w:szCs w:val="22"/>
          <w:lang w:val="en-US"/>
        </w:rPr>
        <w:t>Figure</w:t>
      </w:r>
      <w:r w:rsidRPr="00531A09">
        <w:rPr>
          <w:rFonts w:eastAsia="Times New Roman"/>
          <w:i/>
          <w:color w:val="000000"/>
          <w:sz w:val="22"/>
          <w:szCs w:val="22"/>
          <w:lang w:val="en-US"/>
        </w:rPr>
        <w:t>. Transition Scale (Lt) estimates from (a) AltiKa and (b) Jason-2. (c) Zonal averages of (a) and (b). after Vergara et al., in preparation.</w:t>
      </w:r>
    </w:p>
    <w:p w14:paraId="1CFF97FA" w14:textId="77777777" w:rsidR="005C5C5C" w:rsidRDefault="005C5C5C" w:rsidP="005C5C5C">
      <w:pPr>
        <w:ind w:left="0"/>
        <w:jc w:val="both"/>
        <w:rPr>
          <w:rFonts w:asciiTheme="minorHAnsi" w:hAnsiTheme="minorHAnsi"/>
          <w:sz w:val="22"/>
          <w:szCs w:val="22"/>
          <w:lang w:val="en-US"/>
        </w:rPr>
      </w:pPr>
    </w:p>
    <w:p w14:paraId="14761628" w14:textId="77777777" w:rsidR="005C5C5C" w:rsidRPr="005C5C5C" w:rsidRDefault="005C5C5C" w:rsidP="005C5C5C">
      <w:pPr>
        <w:ind w:left="0"/>
        <w:jc w:val="both"/>
        <w:rPr>
          <w:rFonts w:asciiTheme="minorHAnsi" w:hAnsiTheme="minorHAnsi"/>
          <w:sz w:val="22"/>
          <w:szCs w:val="22"/>
          <w:lang w:val="en-US"/>
        </w:rPr>
      </w:pPr>
    </w:p>
    <w:p w14:paraId="113CC930" w14:textId="77777777" w:rsidR="005C5C5C" w:rsidRPr="00597C3B" w:rsidRDefault="005C5C5C" w:rsidP="005C5C5C">
      <w:pPr>
        <w:pStyle w:val="Paragraphedeliste"/>
        <w:numPr>
          <w:ilvl w:val="0"/>
          <w:numId w:val="1"/>
        </w:numPr>
        <w:jc w:val="both"/>
        <w:rPr>
          <w:rFonts w:asciiTheme="minorHAnsi" w:hAnsiTheme="minorHAnsi"/>
          <w:b/>
          <w:sz w:val="22"/>
          <w:szCs w:val="22"/>
          <w:lang w:val="en-US"/>
        </w:rPr>
      </w:pPr>
      <w:r w:rsidRPr="00597C3B">
        <w:rPr>
          <w:rFonts w:asciiTheme="minorHAnsi" w:hAnsiTheme="minorHAnsi"/>
          <w:b/>
          <w:sz w:val="22"/>
          <w:szCs w:val="22"/>
          <w:lang w:val="en-US"/>
        </w:rPr>
        <w:t>Eddy diagnostics</w:t>
      </w:r>
    </w:p>
    <w:p w14:paraId="512B6F3B" w14:textId="7137B5E3" w:rsidR="00AD515A" w:rsidRPr="00AD515A" w:rsidRDefault="00FB26B3" w:rsidP="00AD515A">
      <w:pPr>
        <w:ind w:left="0"/>
        <w:jc w:val="both"/>
        <w:rPr>
          <w:rFonts w:asciiTheme="minorHAnsi" w:hAnsiTheme="minorHAnsi"/>
          <w:sz w:val="22"/>
          <w:szCs w:val="22"/>
          <w:lang w:val="en-US"/>
        </w:rPr>
      </w:pPr>
      <w:r w:rsidRPr="00AD515A">
        <w:rPr>
          <w:rFonts w:asciiTheme="minorHAnsi" w:hAnsiTheme="minorHAnsi"/>
          <w:sz w:val="22"/>
          <w:szCs w:val="22"/>
          <w:lang w:val="en-US"/>
        </w:rPr>
        <w:t xml:space="preserve">We </w:t>
      </w:r>
      <w:r w:rsidR="00AD515A" w:rsidRPr="00AD515A">
        <w:rPr>
          <w:rFonts w:asciiTheme="minorHAnsi" w:hAnsiTheme="minorHAnsi"/>
          <w:sz w:val="22"/>
          <w:szCs w:val="22"/>
          <w:lang w:val="en-US"/>
        </w:rPr>
        <w:t xml:space="preserve">plan to investigate </w:t>
      </w:r>
      <w:r w:rsidRPr="00AD515A">
        <w:rPr>
          <w:rFonts w:asciiTheme="minorHAnsi" w:hAnsiTheme="minorHAnsi"/>
          <w:sz w:val="22"/>
          <w:szCs w:val="22"/>
          <w:lang w:val="en-US"/>
        </w:rPr>
        <w:t>metrics on the ocean’s anisotropic structure, velocity, vorticity and strain,</w:t>
      </w:r>
      <w:r w:rsidR="00AD515A" w:rsidRPr="00AD515A">
        <w:rPr>
          <w:rFonts w:asciiTheme="minorHAnsi" w:hAnsiTheme="minorHAnsi"/>
          <w:sz w:val="22"/>
          <w:szCs w:val="22"/>
          <w:lang w:val="en-US"/>
        </w:rPr>
        <w:t xml:space="preserve"> 2D energy and momentum fluxes, across the SWOT swaths, and for the multi-mission reconstructed SSH fields.  </w:t>
      </w:r>
      <w:r w:rsidRPr="00AD515A">
        <w:rPr>
          <w:rFonts w:asciiTheme="minorHAnsi" w:hAnsiTheme="minorHAnsi"/>
          <w:sz w:val="22"/>
          <w:szCs w:val="22"/>
          <w:lang w:val="en-US"/>
        </w:rPr>
        <w:t xml:space="preserve"> </w:t>
      </w:r>
      <w:r w:rsidR="00AD515A" w:rsidRPr="00AD515A">
        <w:rPr>
          <w:rFonts w:asciiTheme="minorHAnsi" w:hAnsiTheme="minorHAnsi"/>
          <w:sz w:val="22"/>
          <w:szCs w:val="22"/>
          <w:lang w:val="en-US"/>
        </w:rPr>
        <w:t xml:space="preserve">A key component of calculating eddy statistics will be to choose the spatial scales where the balanced motions dominate (see 1), whether a phase-locked internal tide correction has been applied or not. </w:t>
      </w:r>
      <w:r w:rsidR="00AD515A">
        <w:rPr>
          <w:rFonts w:asciiTheme="minorHAnsi" w:hAnsiTheme="minorHAnsi"/>
          <w:sz w:val="22"/>
          <w:szCs w:val="22"/>
          <w:lang w:val="en-US"/>
        </w:rPr>
        <w:t>We will investigate the choice of</w:t>
      </w:r>
      <w:r w:rsidR="00AD515A" w:rsidRPr="00AD515A">
        <w:rPr>
          <w:rFonts w:asciiTheme="minorHAnsi" w:hAnsiTheme="minorHAnsi"/>
          <w:sz w:val="22"/>
          <w:szCs w:val="22"/>
          <w:lang w:val="en-US"/>
        </w:rPr>
        <w:t xml:space="preserve"> the </w:t>
      </w:r>
      <w:r w:rsidR="00AD515A">
        <w:rPr>
          <w:rFonts w:asciiTheme="minorHAnsi" w:hAnsiTheme="minorHAnsi"/>
          <w:sz w:val="22"/>
          <w:szCs w:val="22"/>
          <w:lang w:val="en-US"/>
        </w:rPr>
        <w:t>best</w:t>
      </w:r>
      <w:r w:rsidR="00AD515A" w:rsidRPr="00AD515A">
        <w:rPr>
          <w:rFonts w:asciiTheme="minorHAnsi" w:hAnsiTheme="minorHAnsi"/>
          <w:sz w:val="22"/>
          <w:szCs w:val="22"/>
          <w:lang w:val="en-US"/>
        </w:rPr>
        <w:t xml:space="preserve"> smoothing scales for regional analyses of the surface velocity field within the swaths, often above the local error level for SWOT. </w:t>
      </w:r>
    </w:p>
    <w:p w14:paraId="63FEE2F1" w14:textId="7009AC17" w:rsidR="005C5C5C" w:rsidRDefault="005C5C5C" w:rsidP="005C5C5C">
      <w:pPr>
        <w:pStyle w:val="Paragraphedeliste"/>
        <w:jc w:val="both"/>
        <w:rPr>
          <w:rFonts w:asciiTheme="minorHAnsi" w:hAnsiTheme="minorHAnsi"/>
          <w:sz w:val="22"/>
          <w:szCs w:val="22"/>
          <w:lang w:val="en-US"/>
        </w:rPr>
      </w:pPr>
    </w:p>
    <w:p w14:paraId="0149ADEC" w14:textId="0634D17E" w:rsidR="00AD515A" w:rsidRPr="00597C3B" w:rsidRDefault="00AD515A" w:rsidP="00AD515A">
      <w:pPr>
        <w:pStyle w:val="Paragraphedeliste"/>
        <w:numPr>
          <w:ilvl w:val="0"/>
          <w:numId w:val="1"/>
        </w:numPr>
        <w:jc w:val="both"/>
        <w:rPr>
          <w:rFonts w:asciiTheme="minorHAnsi" w:hAnsiTheme="minorHAnsi"/>
          <w:b/>
          <w:sz w:val="22"/>
          <w:szCs w:val="22"/>
          <w:lang w:val="en-US"/>
        </w:rPr>
      </w:pPr>
      <w:r w:rsidRPr="00597C3B">
        <w:rPr>
          <w:rFonts w:asciiTheme="minorHAnsi" w:hAnsiTheme="minorHAnsi"/>
          <w:b/>
          <w:sz w:val="22"/>
          <w:szCs w:val="22"/>
          <w:lang w:val="en-US"/>
        </w:rPr>
        <w:t>Detection of Fronts and Eddies in SWOT &amp; multi-altimeter data</w:t>
      </w:r>
    </w:p>
    <w:p w14:paraId="65F5DE51" w14:textId="57A10C13" w:rsidR="00AD515A" w:rsidRDefault="00AD515A" w:rsidP="00597C3B">
      <w:pPr>
        <w:ind w:left="0"/>
        <w:jc w:val="both"/>
        <w:rPr>
          <w:rFonts w:asciiTheme="minorHAnsi" w:eastAsia="Times New Roman" w:hAnsiTheme="minorHAnsi"/>
          <w:color w:val="000000"/>
          <w:sz w:val="22"/>
          <w:szCs w:val="22"/>
          <w:lang w:val="en-US"/>
        </w:rPr>
      </w:pPr>
      <w:r w:rsidRPr="00597C3B">
        <w:rPr>
          <w:rFonts w:asciiTheme="minorHAnsi" w:eastAsia="Times New Roman" w:hAnsiTheme="minorHAnsi"/>
          <w:color w:val="000000"/>
          <w:sz w:val="22"/>
          <w:szCs w:val="22"/>
          <w:lang w:val="en-US"/>
        </w:rPr>
        <w:t xml:space="preserve">We aim to explore how the surface expression of </w:t>
      </w:r>
      <w:r w:rsidR="00597C3B" w:rsidRPr="00597C3B">
        <w:rPr>
          <w:rFonts w:asciiTheme="minorHAnsi" w:eastAsia="Times New Roman" w:hAnsiTheme="minorHAnsi"/>
          <w:color w:val="000000"/>
          <w:sz w:val="22"/>
          <w:szCs w:val="22"/>
          <w:lang w:val="en-US"/>
        </w:rPr>
        <w:t xml:space="preserve">fine-scale </w:t>
      </w:r>
      <w:r w:rsidRPr="00597C3B">
        <w:rPr>
          <w:rFonts w:asciiTheme="minorHAnsi" w:eastAsia="Times New Roman" w:hAnsiTheme="minorHAnsi"/>
          <w:color w:val="000000"/>
          <w:sz w:val="22"/>
          <w:szCs w:val="22"/>
          <w:lang w:val="en-US"/>
        </w:rPr>
        <w:t xml:space="preserve">tracer fronts (SST, ocean color) </w:t>
      </w:r>
      <w:r w:rsidR="00597C3B" w:rsidRPr="00597C3B">
        <w:rPr>
          <w:rFonts w:asciiTheme="minorHAnsi" w:eastAsia="Times New Roman" w:hAnsiTheme="minorHAnsi"/>
          <w:color w:val="000000"/>
          <w:sz w:val="22"/>
          <w:szCs w:val="22"/>
          <w:lang w:val="en-US"/>
        </w:rPr>
        <w:t>co-incide or not with the</w:t>
      </w:r>
      <w:r w:rsidRPr="00597C3B">
        <w:rPr>
          <w:rFonts w:asciiTheme="minorHAnsi" w:eastAsia="Times New Roman" w:hAnsiTheme="minorHAnsi"/>
          <w:color w:val="000000"/>
          <w:sz w:val="22"/>
          <w:szCs w:val="22"/>
          <w:lang w:val="en-US"/>
        </w:rPr>
        <w:t xml:space="preserve"> subsurface position and strength</w:t>
      </w:r>
      <w:r w:rsidR="00597C3B" w:rsidRPr="00597C3B">
        <w:rPr>
          <w:rFonts w:asciiTheme="minorHAnsi" w:eastAsia="Times New Roman" w:hAnsiTheme="minorHAnsi"/>
          <w:color w:val="000000"/>
          <w:sz w:val="22"/>
          <w:szCs w:val="22"/>
          <w:lang w:val="en-US"/>
        </w:rPr>
        <w:t xml:space="preserve"> of fronts and eddies</w:t>
      </w:r>
      <w:r w:rsidRPr="00597C3B">
        <w:rPr>
          <w:rFonts w:asciiTheme="minorHAnsi" w:eastAsia="Times New Roman" w:hAnsiTheme="minorHAnsi"/>
          <w:color w:val="000000"/>
          <w:sz w:val="22"/>
          <w:szCs w:val="22"/>
          <w:lang w:val="en-US"/>
        </w:rPr>
        <w:t xml:space="preserve"> detected by altimetric SSH. For this, we will perform statistical comparisons in different key regions (including the SWOT CalVal sites and coastal current sites</w:t>
      </w:r>
      <w:r w:rsidR="00597C3B" w:rsidRPr="00597C3B">
        <w:rPr>
          <w:rFonts w:asciiTheme="minorHAnsi" w:eastAsia="Times New Roman" w:hAnsiTheme="minorHAnsi"/>
          <w:color w:val="000000"/>
          <w:sz w:val="22"/>
          <w:szCs w:val="22"/>
          <w:lang w:val="en-US"/>
        </w:rPr>
        <w:t xml:space="preserve">). </w:t>
      </w:r>
    </w:p>
    <w:p w14:paraId="58592285" w14:textId="77777777" w:rsidR="00597C3B" w:rsidRDefault="00597C3B" w:rsidP="00597C3B">
      <w:pPr>
        <w:ind w:left="0"/>
        <w:jc w:val="both"/>
        <w:rPr>
          <w:rFonts w:asciiTheme="minorHAnsi" w:eastAsia="Times New Roman" w:hAnsiTheme="minorHAnsi"/>
          <w:color w:val="000000"/>
          <w:sz w:val="22"/>
          <w:szCs w:val="22"/>
          <w:lang w:val="en-US"/>
        </w:rPr>
      </w:pPr>
    </w:p>
    <w:p w14:paraId="5958C36E" w14:textId="77777777" w:rsidR="00901198" w:rsidRDefault="00901198" w:rsidP="00597C3B">
      <w:pPr>
        <w:ind w:left="0"/>
        <w:jc w:val="both"/>
        <w:rPr>
          <w:rFonts w:asciiTheme="minorHAnsi" w:eastAsia="Times New Roman" w:hAnsiTheme="minorHAnsi"/>
          <w:color w:val="000000"/>
          <w:sz w:val="22"/>
          <w:szCs w:val="22"/>
          <w:lang w:val="en-US"/>
        </w:rPr>
      </w:pPr>
    </w:p>
    <w:p w14:paraId="6E8E3E8D" w14:textId="11C7DEF2" w:rsidR="00597C3B" w:rsidRDefault="00597C3B" w:rsidP="00901198">
      <w:pPr>
        <w:pStyle w:val="Paragraphedeliste"/>
        <w:numPr>
          <w:ilvl w:val="0"/>
          <w:numId w:val="6"/>
        </w:numPr>
        <w:ind w:left="426" w:hanging="426"/>
        <w:jc w:val="both"/>
        <w:rPr>
          <w:rFonts w:asciiTheme="minorHAnsi" w:eastAsia="Times New Roman" w:hAnsiTheme="minorHAnsi"/>
          <w:b/>
          <w:color w:val="000000"/>
          <w:sz w:val="24"/>
          <w:szCs w:val="22"/>
          <w:lang w:val="en-US"/>
        </w:rPr>
      </w:pPr>
      <w:r w:rsidRPr="00862B2F">
        <w:rPr>
          <w:rFonts w:asciiTheme="minorHAnsi" w:eastAsia="Times New Roman" w:hAnsiTheme="minorHAnsi"/>
          <w:b/>
          <w:color w:val="000000"/>
          <w:sz w:val="24"/>
          <w:szCs w:val="22"/>
          <w:lang w:val="en-US"/>
        </w:rPr>
        <w:t>Regional/Coastal analyses</w:t>
      </w:r>
    </w:p>
    <w:p w14:paraId="3D4E4681" w14:textId="77777777" w:rsidR="00901198" w:rsidRPr="00862B2F" w:rsidRDefault="00901198" w:rsidP="00901198">
      <w:pPr>
        <w:pStyle w:val="Paragraphedeliste"/>
        <w:ind w:left="426"/>
        <w:jc w:val="both"/>
        <w:rPr>
          <w:rFonts w:asciiTheme="minorHAnsi" w:eastAsia="Times New Roman" w:hAnsiTheme="minorHAnsi"/>
          <w:b/>
          <w:color w:val="000000"/>
          <w:sz w:val="24"/>
          <w:szCs w:val="22"/>
          <w:lang w:val="en-US"/>
        </w:rPr>
      </w:pPr>
    </w:p>
    <w:p w14:paraId="3BECD1C6" w14:textId="7DC01F70" w:rsidR="00BE1742" w:rsidRPr="00BE1742" w:rsidRDefault="00BE1742" w:rsidP="00BE1742">
      <w:pPr>
        <w:pStyle w:val="Paragraphedelist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eastAsia="Times New Roman" w:hAnsiTheme="minorHAnsi"/>
          <w:b/>
          <w:sz w:val="22"/>
          <w:szCs w:val="22"/>
          <w:lang w:val="en" w:eastAsia="fr-FR"/>
        </w:rPr>
      </w:pPr>
      <w:r w:rsidRPr="00BE1742">
        <w:rPr>
          <w:rFonts w:asciiTheme="minorHAnsi" w:eastAsia="Times New Roman" w:hAnsiTheme="minorHAnsi"/>
          <w:b/>
          <w:sz w:val="22"/>
          <w:szCs w:val="22"/>
          <w:lang w:val="en" w:eastAsia="fr-FR"/>
        </w:rPr>
        <w:t>Alongtrack coastal signal and errors</w:t>
      </w:r>
    </w:p>
    <w:p w14:paraId="4191E62F" w14:textId="458CFF10" w:rsidR="00BE1742" w:rsidRPr="00BE1742" w:rsidRDefault="00597C3B" w:rsidP="00BE1742">
      <w:pPr>
        <w:ind w:left="0"/>
        <w:jc w:val="both"/>
        <w:rPr>
          <w:rFonts w:asciiTheme="minorHAnsi" w:hAnsiTheme="minorHAnsi"/>
          <w:sz w:val="22"/>
          <w:szCs w:val="22"/>
          <w:lang w:val="en-US"/>
        </w:rPr>
      </w:pPr>
      <w:r w:rsidRPr="00BE1742">
        <w:rPr>
          <w:rFonts w:asciiTheme="minorHAnsi" w:eastAsia="Times New Roman" w:hAnsiTheme="minorHAnsi"/>
          <w:sz w:val="22"/>
          <w:szCs w:val="22"/>
          <w:lang w:val="en" w:eastAsia="fr-FR"/>
        </w:rPr>
        <w:t xml:space="preserve">LEGOS / CTOH already develops, validates and distributes a new alongtrack high resolution coastal altimetry product (20/40 Hz) in certain regions defined in the ESA CCI Sea Level projects (3 zones today on the European coast, the Mediterranean Sea, and in the eastern tropical Atlantic Ocean; 6 in 2020 extending into the north Indian Ocean, SE Asia and Australia). This project is accompanied by studies to define the best possible set of corrections for coastal studies in each region, their uncertainties, and their impact on coastal applications. Today these regions do not include the main areas of SWOT CAL / VAL. </w:t>
      </w:r>
      <w:r w:rsidRPr="00BE1742">
        <w:rPr>
          <w:rFonts w:asciiTheme="minorHAnsi" w:hAnsiTheme="minorHAnsi"/>
          <w:sz w:val="22"/>
          <w:szCs w:val="22"/>
          <w:lang w:val="en-US"/>
        </w:rPr>
        <w:t xml:space="preserve">We propose to extend these analyses to investigate the alongtrack </w:t>
      </w:r>
      <w:r w:rsidR="00BE1742" w:rsidRPr="00BE1742">
        <w:rPr>
          <w:rFonts w:asciiTheme="minorHAnsi" w:hAnsiTheme="minorHAnsi"/>
          <w:sz w:val="22"/>
          <w:szCs w:val="22"/>
          <w:lang w:val="en-US"/>
        </w:rPr>
        <w:t xml:space="preserve">(and then SWOT) </w:t>
      </w:r>
      <w:r w:rsidRPr="00BE1742">
        <w:rPr>
          <w:rFonts w:asciiTheme="minorHAnsi" w:hAnsiTheme="minorHAnsi"/>
          <w:sz w:val="22"/>
          <w:szCs w:val="22"/>
          <w:lang w:val="en-US"/>
        </w:rPr>
        <w:t xml:space="preserve">corrections/noise at high resolution in the different SWOT CalVal sites (California, W Mediterranean, New Caledonia, South Tasmania), </w:t>
      </w:r>
      <w:r w:rsidRPr="00BE1742">
        <w:rPr>
          <w:rFonts w:asciiTheme="minorHAnsi" w:eastAsia="Times New Roman" w:hAnsiTheme="minorHAnsi"/>
          <w:sz w:val="22"/>
          <w:szCs w:val="22"/>
          <w:lang w:val="en" w:eastAsia="fr-FR"/>
        </w:rPr>
        <w:t>as part of this project.</w:t>
      </w:r>
      <w:r w:rsidR="00BE1742" w:rsidRPr="00BE1742">
        <w:rPr>
          <w:rFonts w:asciiTheme="minorHAnsi" w:hAnsiTheme="minorHAnsi"/>
          <w:sz w:val="22"/>
          <w:szCs w:val="22"/>
          <w:lang w:val="en-US"/>
        </w:rPr>
        <w:t xml:space="preserve"> Although JPL &amp; CNES/CLS will perform these error analyses globally, we will concentrate our activities on the regions where LEGOS has local expertise, and where the errors in certain corrections may vary (eg waves/swell on eastern boundaries ;  wet tropospheric corrections in humid tropics or foggy upwelling regions). </w:t>
      </w:r>
    </w:p>
    <w:p w14:paraId="271381FA" w14:textId="36DCFC83" w:rsidR="00597C3B" w:rsidRPr="00BE1742" w:rsidRDefault="00597C3B" w:rsidP="00BE1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heme="minorHAnsi" w:hAnsiTheme="minorHAnsi"/>
          <w:sz w:val="22"/>
          <w:szCs w:val="22"/>
          <w:lang w:val="en-US"/>
        </w:rPr>
      </w:pPr>
    </w:p>
    <w:p w14:paraId="4E831076" w14:textId="706155A0" w:rsidR="00BE1742" w:rsidRPr="00BE1742" w:rsidRDefault="00BE1742" w:rsidP="00BE1742">
      <w:pPr>
        <w:pStyle w:val="Paragraphedeliste"/>
        <w:numPr>
          <w:ilvl w:val="0"/>
          <w:numId w:val="5"/>
        </w:numPr>
        <w:jc w:val="both"/>
        <w:rPr>
          <w:rFonts w:asciiTheme="minorHAnsi" w:hAnsiTheme="minorHAnsi"/>
          <w:b/>
          <w:sz w:val="22"/>
          <w:szCs w:val="22"/>
          <w:lang w:val="en-US"/>
        </w:rPr>
      </w:pPr>
      <w:r w:rsidRPr="00BE1742">
        <w:rPr>
          <w:rFonts w:asciiTheme="minorHAnsi" w:hAnsiTheme="minorHAnsi"/>
          <w:b/>
          <w:sz w:val="22"/>
          <w:szCs w:val="22"/>
          <w:lang w:val="en-US"/>
        </w:rPr>
        <w:t>SSH fine-scale coastal composites</w:t>
      </w:r>
    </w:p>
    <w:p w14:paraId="13AD7FC6" w14:textId="151B539D" w:rsidR="00FB26B3" w:rsidRPr="00BE1742" w:rsidRDefault="00FB26B3" w:rsidP="00BE1742">
      <w:pPr>
        <w:ind w:left="0"/>
        <w:jc w:val="both"/>
        <w:rPr>
          <w:rFonts w:asciiTheme="minorHAnsi" w:hAnsiTheme="minorHAnsi"/>
          <w:sz w:val="22"/>
          <w:szCs w:val="22"/>
          <w:lang w:val="en-US"/>
        </w:rPr>
      </w:pPr>
      <w:r w:rsidRPr="00BE1742">
        <w:rPr>
          <w:rFonts w:asciiTheme="minorHAnsi" w:hAnsiTheme="minorHAnsi"/>
          <w:sz w:val="22"/>
          <w:szCs w:val="22"/>
          <w:lang w:val="en-US"/>
        </w:rPr>
        <w:t xml:space="preserve">In parallel, we will also study the 2D SSH structure in coastal regions and investigate what the new 2D SWOT view should bring, in comparison to the historical 1D alongtrack analyses.  </w:t>
      </w:r>
      <w:r w:rsidR="00597C3B" w:rsidRPr="00BE1742">
        <w:rPr>
          <w:rFonts w:asciiTheme="minorHAnsi" w:eastAsia="Times New Roman" w:hAnsiTheme="minorHAnsi"/>
          <w:sz w:val="22"/>
          <w:szCs w:val="22"/>
          <w:lang w:val="en" w:eastAsia="fr-FR"/>
        </w:rPr>
        <w:t>SWOT’s 2D swath data can quantify the small-scale spatial SSH patterns of coastal flow around bathymetric or coastline changes, or in response to orographic wind forcing. SWOT’s temporal revisits during the Fast Sampling Phase will allow 3 months of local space-time analysis of the small, rapid coastal processes under the swaths. During the nominal phase of SWOT, the weak temporal sampling will not allow us to fully monitor the evolution of the small, rapid coastal processes, but composites can help us charcterise the local coastal structures (mean or seasonal composites of small-scale structures; wind-orientated composites of eddy generation, etc).  We plan to investigate how SWOT can be used in an integrated way with other observation platforms (other altimetry missions, satellite tracer data, and in-situ data) or HR models.</w:t>
      </w:r>
    </w:p>
    <w:p w14:paraId="020B7A51" w14:textId="77777777" w:rsidR="00FB26B3" w:rsidRPr="00BE1742" w:rsidRDefault="00FB26B3" w:rsidP="00FB26B3">
      <w:pPr>
        <w:ind w:left="0"/>
        <w:jc w:val="both"/>
        <w:rPr>
          <w:rFonts w:asciiTheme="minorHAnsi" w:hAnsiTheme="minorHAnsi"/>
          <w:sz w:val="22"/>
          <w:szCs w:val="22"/>
          <w:lang w:val="en-US"/>
        </w:rPr>
      </w:pPr>
    </w:p>
    <w:p w14:paraId="2DD54CB2" w14:textId="6A4A200E" w:rsidR="00BE1742" w:rsidRPr="00BE1742" w:rsidRDefault="00BE1742" w:rsidP="00BE1742">
      <w:pPr>
        <w:pStyle w:val="Paragraphedeliste"/>
        <w:numPr>
          <w:ilvl w:val="0"/>
          <w:numId w:val="5"/>
        </w:numPr>
        <w:jc w:val="both"/>
        <w:rPr>
          <w:rFonts w:asciiTheme="minorHAnsi" w:hAnsiTheme="minorHAnsi"/>
          <w:b/>
          <w:sz w:val="22"/>
          <w:szCs w:val="22"/>
          <w:lang w:val="en-US"/>
        </w:rPr>
      </w:pPr>
      <w:r w:rsidRPr="00BE1742">
        <w:rPr>
          <w:rFonts w:asciiTheme="minorHAnsi" w:hAnsiTheme="minorHAnsi"/>
          <w:b/>
          <w:sz w:val="22"/>
          <w:szCs w:val="22"/>
          <w:lang w:val="en-US"/>
        </w:rPr>
        <w:t>Coral Reefs</w:t>
      </w:r>
    </w:p>
    <w:p w14:paraId="4D993A94" w14:textId="338FD7AD" w:rsidR="00BE1742" w:rsidRPr="00BE1742" w:rsidRDefault="00BE1742" w:rsidP="00BE1742">
      <w:pPr>
        <w:pStyle w:val="Listecouleur-Accent11"/>
        <w:ind w:left="0"/>
        <w:jc w:val="both"/>
        <w:rPr>
          <w:rFonts w:asciiTheme="minorHAnsi" w:hAnsiTheme="minorHAnsi" w:cs="Arial"/>
          <w:sz w:val="22"/>
          <w:szCs w:val="22"/>
          <w:lang w:val="en-US"/>
        </w:rPr>
      </w:pPr>
      <w:r w:rsidRPr="00BE1742">
        <w:rPr>
          <w:rFonts w:asciiTheme="minorHAnsi" w:hAnsiTheme="minorHAnsi" w:cs="Arial"/>
          <w:sz w:val="22"/>
          <w:szCs w:val="22"/>
          <w:lang w:val="en-US"/>
        </w:rPr>
        <w:t>The circulation in and around coral reefs, including the flushing over a tidal cycle, is critical for many biological and chemical applications. We propose a final study on the ability of today’s alongtrack altimeter data (particularly Saral and S3) to observe the SSH changes across coral reefs, and eventually the geostrophic currents close to these reefs. The standard radar signal will be strongly perturbed by the exposed coral at low tide, but will be potentially undisturbed at high tide. This pre-study will be continued with SWOT data in specific regions (New Caledonia, Great Barrier Reef).</w:t>
      </w:r>
    </w:p>
    <w:p w14:paraId="6AEC1012" w14:textId="77777777" w:rsidR="00BE1742" w:rsidRPr="00BE1742" w:rsidRDefault="00BE1742" w:rsidP="00BE1742">
      <w:pPr>
        <w:ind w:left="0"/>
        <w:jc w:val="both"/>
        <w:rPr>
          <w:rFonts w:asciiTheme="minorHAnsi" w:hAnsiTheme="minorHAnsi"/>
          <w:sz w:val="22"/>
          <w:szCs w:val="22"/>
          <w:lang w:val="en-US"/>
        </w:rPr>
      </w:pPr>
    </w:p>
    <w:p w14:paraId="3E080C57" w14:textId="1535914C" w:rsidR="00FB26B3" w:rsidRPr="00FB26B3" w:rsidRDefault="00901198" w:rsidP="00FB26B3">
      <w:pPr>
        <w:ind w:left="0"/>
        <w:jc w:val="both"/>
        <w:rPr>
          <w:rFonts w:asciiTheme="minorHAnsi" w:hAnsiTheme="minorHAnsi"/>
          <w:sz w:val="22"/>
          <w:szCs w:val="22"/>
          <w:lang w:val="en-US"/>
        </w:rPr>
      </w:pPr>
      <w:r w:rsidRPr="00901198">
        <w:rPr>
          <w:rFonts w:asciiTheme="minorHAnsi" w:hAnsiTheme="minorHAnsi"/>
          <w:sz w:val="24"/>
          <w:szCs w:val="22"/>
          <w:lang w:val="en-US"/>
        </w:rPr>
        <w:t xml:space="preserve">C) </w:t>
      </w:r>
      <w:r w:rsidRPr="00901198">
        <w:rPr>
          <w:rFonts w:asciiTheme="minorHAnsi" w:hAnsiTheme="minorHAnsi"/>
          <w:b/>
          <w:sz w:val="24"/>
          <w:szCs w:val="22"/>
          <w:lang w:val="en-US"/>
        </w:rPr>
        <w:t>SWOT science user support</w:t>
      </w:r>
    </w:p>
    <w:p w14:paraId="7DC6FBDB" w14:textId="77777777" w:rsidR="00901198" w:rsidRDefault="00901198" w:rsidP="00901198">
      <w:pPr>
        <w:ind w:left="0"/>
        <w:jc w:val="both"/>
        <w:rPr>
          <w:rFonts w:asciiTheme="minorHAnsi" w:hAnsiTheme="minorHAnsi"/>
          <w:sz w:val="22"/>
          <w:szCs w:val="22"/>
          <w:lang w:val="en-US"/>
        </w:rPr>
      </w:pPr>
    </w:p>
    <w:p w14:paraId="65C93A0C" w14:textId="67AD4899" w:rsidR="00FB26B3" w:rsidRPr="00901198" w:rsidRDefault="00901198" w:rsidP="00901198">
      <w:pPr>
        <w:ind w:left="0"/>
        <w:jc w:val="both"/>
        <w:rPr>
          <w:rFonts w:asciiTheme="minorHAnsi" w:hAnsiTheme="minorHAnsi"/>
          <w:sz w:val="22"/>
          <w:szCs w:val="22"/>
          <w:lang w:val="en-US"/>
        </w:rPr>
      </w:pPr>
      <w:r w:rsidRPr="00901198">
        <w:rPr>
          <w:rFonts w:asciiTheme="minorHAnsi" w:hAnsiTheme="minorHAnsi"/>
          <w:sz w:val="22"/>
          <w:szCs w:val="22"/>
          <w:lang w:val="en-US"/>
        </w:rPr>
        <w:t>T</w:t>
      </w:r>
      <w:r w:rsidR="00FB26B3" w:rsidRPr="00901198">
        <w:rPr>
          <w:rFonts w:asciiTheme="minorHAnsi" w:hAnsiTheme="minorHAnsi"/>
          <w:sz w:val="22"/>
          <w:szCs w:val="22"/>
          <w:lang w:val="en-US"/>
        </w:rPr>
        <w:t>he CTOH</w:t>
      </w:r>
      <w:r>
        <w:rPr>
          <w:rFonts w:asciiTheme="minorHAnsi" w:hAnsiTheme="minorHAnsi"/>
          <w:sz w:val="22"/>
          <w:szCs w:val="22"/>
          <w:lang w:val="en-US"/>
        </w:rPr>
        <w:t xml:space="preserve">, with the support of CNES, </w:t>
      </w:r>
      <w:r w:rsidR="00FB26B3" w:rsidRPr="00901198">
        <w:rPr>
          <w:rFonts w:asciiTheme="minorHAnsi" w:hAnsiTheme="minorHAnsi"/>
          <w:sz w:val="22"/>
          <w:szCs w:val="22"/>
          <w:lang w:val="en-US"/>
        </w:rPr>
        <w:t xml:space="preserve">aims to provide SWOT science user support and contribute to the SWOT Ocean scientific management and administration. </w:t>
      </w:r>
    </w:p>
    <w:p w14:paraId="311DA7B3" w14:textId="77777777" w:rsidR="00901198" w:rsidRDefault="00901198" w:rsidP="00901198">
      <w:pPr>
        <w:ind w:left="0"/>
        <w:jc w:val="both"/>
        <w:rPr>
          <w:b/>
          <w:sz w:val="22"/>
          <w:szCs w:val="22"/>
          <w:lang w:val="en-US"/>
        </w:rPr>
      </w:pPr>
    </w:p>
    <w:p w14:paraId="67301F6B" w14:textId="77777777" w:rsidR="00E1377B" w:rsidRDefault="00E1377B" w:rsidP="00901198">
      <w:pPr>
        <w:ind w:left="0"/>
        <w:jc w:val="both"/>
        <w:rPr>
          <w:b/>
          <w:sz w:val="22"/>
          <w:szCs w:val="22"/>
          <w:lang w:val="en-US"/>
        </w:rPr>
      </w:pPr>
    </w:p>
    <w:p w14:paraId="3C3241A9" w14:textId="77777777" w:rsidR="00E1377B" w:rsidRDefault="00E1377B" w:rsidP="00901198">
      <w:pPr>
        <w:ind w:left="0"/>
        <w:jc w:val="both"/>
        <w:rPr>
          <w:b/>
          <w:sz w:val="22"/>
          <w:szCs w:val="22"/>
          <w:lang w:val="en-US"/>
        </w:rPr>
      </w:pPr>
    </w:p>
    <w:p w14:paraId="2A34E725" w14:textId="77777777" w:rsidR="00E1377B" w:rsidRDefault="00E1377B">
      <w:pPr>
        <w:ind w:left="0"/>
        <w:rPr>
          <w:b/>
          <w:sz w:val="22"/>
          <w:szCs w:val="22"/>
          <w:lang w:val="en-US"/>
        </w:rPr>
      </w:pPr>
      <w:r>
        <w:rPr>
          <w:b/>
          <w:sz w:val="22"/>
          <w:szCs w:val="22"/>
          <w:lang w:val="en-US"/>
        </w:rPr>
        <w:br w:type="page"/>
      </w:r>
    </w:p>
    <w:p w14:paraId="6F0DB88C" w14:textId="71A38BBE" w:rsidR="00E1377B" w:rsidRDefault="00E1377B" w:rsidP="00901198">
      <w:pPr>
        <w:ind w:left="0"/>
        <w:jc w:val="both"/>
        <w:rPr>
          <w:b/>
          <w:sz w:val="22"/>
          <w:szCs w:val="22"/>
          <w:lang w:val="en-US"/>
        </w:rPr>
      </w:pPr>
      <w:r>
        <w:rPr>
          <w:b/>
          <w:sz w:val="22"/>
          <w:szCs w:val="22"/>
          <w:lang w:val="en-US"/>
        </w:rPr>
        <w:t>Selected Team references</w:t>
      </w:r>
    </w:p>
    <w:p w14:paraId="54154DC7" w14:textId="77777777" w:rsidR="00E1377B" w:rsidRDefault="00E1377B" w:rsidP="00901198">
      <w:pPr>
        <w:ind w:left="0"/>
        <w:jc w:val="both"/>
        <w:rPr>
          <w:b/>
          <w:sz w:val="22"/>
          <w:szCs w:val="22"/>
          <w:lang w:val="en-US"/>
        </w:rPr>
      </w:pPr>
    </w:p>
    <w:p w14:paraId="78B9BD24" w14:textId="77777777" w:rsidR="00E1377B" w:rsidRPr="00CD656D" w:rsidRDefault="00E1377B" w:rsidP="00E1377B">
      <w:pPr>
        <w:pStyle w:val="Commentaire"/>
        <w:spacing w:after="0"/>
        <w:ind w:left="284" w:hanging="284"/>
        <w:rPr>
          <w:sz w:val="18"/>
          <w:szCs w:val="18"/>
          <w:lang w:val="en-GB"/>
        </w:rPr>
      </w:pPr>
      <w:r w:rsidRPr="00E1377B">
        <w:rPr>
          <w:rStyle w:val="lev"/>
          <w:b w:val="0"/>
          <w:sz w:val="18"/>
          <w:szCs w:val="18"/>
          <w:lang w:val="en-GB"/>
        </w:rPr>
        <w:t>Birol</w:t>
      </w:r>
      <w:r w:rsidRPr="00E1377B">
        <w:rPr>
          <w:b/>
          <w:sz w:val="18"/>
          <w:szCs w:val="18"/>
          <w:lang w:val="en-GB"/>
        </w:rPr>
        <w:t>,</w:t>
      </w:r>
      <w:r w:rsidRPr="00CD656D">
        <w:rPr>
          <w:sz w:val="18"/>
          <w:szCs w:val="18"/>
          <w:lang w:val="en-GB"/>
        </w:rPr>
        <w:t xml:space="preserve"> F., M. Cancet, C. Estournel: Aspects of the seasonal variability of the Northern Current (NW Mediterranean Sea) observed by altimetry. </w:t>
      </w:r>
      <w:r w:rsidRPr="00CD656D">
        <w:rPr>
          <w:i/>
          <w:iCs/>
          <w:sz w:val="18"/>
          <w:szCs w:val="18"/>
          <w:lang w:val="en-GB"/>
        </w:rPr>
        <w:t xml:space="preserve">J. of Mar. Systems, </w:t>
      </w:r>
      <w:r w:rsidRPr="00CD656D">
        <w:rPr>
          <w:sz w:val="18"/>
          <w:szCs w:val="18"/>
          <w:lang w:val="en-GB"/>
        </w:rPr>
        <w:t>10.1016/j.jmarsys.2010.01.005, 2010.</w:t>
      </w:r>
    </w:p>
    <w:p w14:paraId="0899FE1A" w14:textId="77777777" w:rsidR="00E1377B" w:rsidRPr="00CD656D" w:rsidRDefault="00E1377B" w:rsidP="00E1377B">
      <w:pPr>
        <w:pStyle w:val="Commentaire"/>
        <w:spacing w:after="0"/>
        <w:ind w:left="284" w:hanging="284"/>
        <w:rPr>
          <w:color w:val="332C34"/>
          <w:sz w:val="18"/>
          <w:szCs w:val="18"/>
          <w:lang w:val="en-GB"/>
        </w:rPr>
      </w:pPr>
      <w:r w:rsidRPr="00E1377B">
        <w:rPr>
          <w:rStyle w:val="lev"/>
          <w:b w:val="0"/>
          <w:sz w:val="18"/>
          <w:szCs w:val="18"/>
          <w:lang w:val="en-GB"/>
        </w:rPr>
        <w:t>Birol.</w:t>
      </w:r>
      <w:r w:rsidRPr="00CD656D">
        <w:rPr>
          <w:rStyle w:val="lev"/>
          <w:sz w:val="18"/>
          <w:szCs w:val="18"/>
          <w:lang w:val="en-GB"/>
        </w:rPr>
        <w:t xml:space="preserve"> F</w:t>
      </w:r>
      <w:r w:rsidRPr="00CD656D">
        <w:rPr>
          <w:color w:val="332C34"/>
          <w:sz w:val="18"/>
          <w:szCs w:val="18"/>
          <w:lang w:val="en-GB"/>
        </w:rPr>
        <w:t xml:space="preserve"> and C. Delebecque, 2014: Using high sampling rate (10/20 Hz) altimeter data for the observation of coastal surface currents: A case study over the northwestern Mediterranean Sea, </w:t>
      </w:r>
      <w:r w:rsidRPr="00CD656D">
        <w:rPr>
          <w:i/>
          <w:iCs/>
          <w:color w:val="332C34"/>
          <w:sz w:val="18"/>
          <w:szCs w:val="18"/>
          <w:lang w:val="en-GB"/>
        </w:rPr>
        <w:t>J. Mar. Syst</w:t>
      </w:r>
      <w:r w:rsidRPr="00CD656D">
        <w:rPr>
          <w:color w:val="332C34"/>
          <w:sz w:val="18"/>
          <w:szCs w:val="18"/>
          <w:lang w:val="en-GB"/>
        </w:rPr>
        <w:t>., doi:10.1016/j.jmarsys.2013.07.009, 2014.</w:t>
      </w:r>
    </w:p>
    <w:p w14:paraId="16B5CDD7" w14:textId="77777777" w:rsidR="00E1377B" w:rsidRPr="00CD656D" w:rsidRDefault="00E1377B" w:rsidP="00E1377B">
      <w:pPr>
        <w:pStyle w:val="Commentaire"/>
        <w:spacing w:after="0"/>
        <w:ind w:left="284" w:hanging="284"/>
        <w:rPr>
          <w:sz w:val="18"/>
          <w:szCs w:val="18"/>
          <w:lang w:val="en-GB"/>
        </w:rPr>
      </w:pPr>
      <w:r w:rsidRPr="00E1377B">
        <w:rPr>
          <w:rStyle w:val="lev"/>
          <w:b w:val="0"/>
          <w:sz w:val="18"/>
          <w:szCs w:val="18"/>
          <w:lang w:val="en-GB"/>
        </w:rPr>
        <w:t>Birol, F</w:t>
      </w:r>
      <w:r w:rsidRPr="00CD656D">
        <w:rPr>
          <w:sz w:val="18"/>
          <w:szCs w:val="18"/>
          <w:lang w:val="en-GB"/>
        </w:rPr>
        <w:t xml:space="preserve"> and F. Niño</w:t>
      </w:r>
      <w:r w:rsidRPr="00CD656D">
        <w:rPr>
          <w:bCs/>
          <w:sz w:val="18"/>
          <w:szCs w:val="18"/>
          <w:lang w:val="en-GB"/>
        </w:rPr>
        <w:t xml:space="preserve">: </w:t>
      </w:r>
      <w:r w:rsidRPr="00CD656D">
        <w:rPr>
          <w:sz w:val="18"/>
          <w:szCs w:val="18"/>
          <w:lang w:val="en-GB"/>
        </w:rPr>
        <w:t xml:space="preserve">Ku and Ka-Band Altimeter Data in the Northwestern Mediterranean Sea. </w:t>
      </w:r>
      <w:r w:rsidRPr="00CD656D">
        <w:rPr>
          <w:i/>
          <w:iCs/>
          <w:sz w:val="18"/>
          <w:szCs w:val="18"/>
          <w:lang w:val="en-GB"/>
        </w:rPr>
        <w:t>Marine Geodesy</w:t>
      </w:r>
      <w:r w:rsidRPr="00CD656D">
        <w:rPr>
          <w:sz w:val="18"/>
          <w:szCs w:val="18"/>
          <w:lang w:val="en-GB"/>
        </w:rPr>
        <w:t xml:space="preserve"> no. SARAL/Altika special issue, vol. 38, doi:10.1080/01490419.2015.1034814, 2015.</w:t>
      </w:r>
    </w:p>
    <w:p w14:paraId="57A672E4" w14:textId="77777777" w:rsidR="00E1377B" w:rsidRPr="00CD656D" w:rsidRDefault="00E1377B" w:rsidP="00E1377B">
      <w:pPr>
        <w:pStyle w:val="Commentaire"/>
        <w:spacing w:after="0"/>
        <w:ind w:left="284" w:hanging="284"/>
        <w:rPr>
          <w:color w:val="332C34"/>
          <w:sz w:val="18"/>
          <w:szCs w:val="18"/>
          <w:lang w:val="en-GB"/>
        </w:rPr>
      </w:pPr>
      <w:r w:rsidRPr="00E1377B">
        <w:rPr>
          <w:rStyle w:val="lev"/>
          <w:b w:val="0"/>
          <w:sz w:val="18"/>
          <w:szCs w:val="18"/>
          <w:lang w:val="en-GB"/>
        </w:rPr>
        <w:t>Birol</w:t>
      </w:r>
      <w:r w:rsidRPr="00E1377B">
        <w:rPr>
          <w:b/>
          <w:color w:val="332C34"/>
          <w:sz w:val="18"/>
          <w:szCs w:val="18"/>
          <w:lang w:val="en-GB"/>
        </w:rPr>
        <w:t>,</w:t>
      </w:r>
      <w:r w:rsidRPr="00CD656D">
        <w:rPr>
          <w:color w:val="332C34"/>
          <w:sz w:val="18"/>
          <w:szCs w:val="18"/>
          <w:lang w:val="en-GB"/>
        </w:rPr>
        <w:t xml:space="preserve"> F., N. Fuller, F. Lyard, M. Cancet, F. Niño, C. Delebecque, S. Fleury, F. Toublanc, A. Melet and M. Saraceno, F. L</w:t>
      </w:r>
      <w:r>
        <w:rPr>
          <w:color w:val="332C34"/>
          <w:sz w:val="18"/>
          <w:szCs w:val="18"/>
          <w:lang w:val="en-GB"/>
        </w:rPr>
        <w:t>é</w:t>
      </w:r>
      <w:r w:rsidRPr="00CD656D">
        <w:rPr>
          <w:color w:val="332C34"/>
          <w:sz w:val="18"/>
          <w:szCs w:val="18"/>
          <w:lang w:val="en-GB"/>
        </w:rPr>
        <w:t xml:space="preserve">ger, 2016. Coastal applications from nadir altimetry: example of the X-TRACK regional products. </w:t>
      </w:r>
      <w:r w:rsidRPr="00CD656D">
        <w:rPr>
          <w:i/>
          <w:iCs/>
          <w:color w:val="332C34"/>
          <w:sz w:val="18"/>
          <w:szCs w:val="18"/>
          <w:lang w:val="en-GB"/>
        </w:rPr>
        <w:t>Advances in Space Research</w:t>
      </w:r>
      <w:r w:rsidRPr="00CD656D">
        <w:rPr>
          <w:color w:val="332C34"/>
          <w:sz w:val="18"/>
          <w:szCs w:val="18"/>
          <w:lang w:val="en-GB"/>
        </w:rPr>
        <w:t xml:space="preserve">, doi:10.1016/j.asr.2016.11.005.- </w:t>
      </w:r>
    </w:p>
    <w:p w14:paraId="3C236320" w14:textId="77777777" w:rsidR="00E1377B" w:rsidRPr="00AC3527" w:rsidRDefault="00E1377B" w:rsidP="00E1377B">
      <w:pPr>
        <w:pBdr>
          <w:top w:val="nil"/>
          <w:left w:val="nil"/>
          <w:bottom w:val="nil"/>
          <w:right w:val="nil"/>
          <w:between w:val="nil"/>
        </w:pBdr>
        <w:ind w:left="360" w:right="-40" w:hanging="360"/>
        <w:jc w:val="both"/>
        <w:rPr>
          <w:rFonts w:eastAsia="Times New Roman"/>
          <w:sz w:val="18"/>
          <w:szCs w:val="18"/>
          <w:lang w:val="en-US"/>
        </w:rPr>
      </w:pPr>
      <w:r w:rsidRPr="00AC3527">
        <w:rPr>
          <w:rFonts w:eastAsiaTheme="minorHAnsi"/>
          <w:color w:val="131413"/>
          <w:sz w:val="18"/>
          <w:szCs w:val="18"/>
          <w:lang w:val="en-US" w:eastAsia="en-US"/>
        </w:rPr>
        <w:t>Dencausse G, Morrow R, Rogé M, Fleury S (2014) Lateral stirring of large-scale tracer fields by altimetry. Ocean Dyn 64:61–78. doi:</w:t>
      </w:r>
      <w:r w:rsidRPr="00AC3527">
        <w:rPr>
          <w:rFonts w:eastAsiaTheme="minorHAnsi"/>
          <w:color w:val="3A2A98"/>
          <w:sz w:val="18"/>
          <w:szCs w:val="18"/>
          <w:lang w:val="en-US" w:eastAsia="en-US"/>
        </w:rPr>
        <w:t>10.1007/s10236-013-0671-8</w:t>
      </w:r>
    </w:p>
    <w:p w14:paraId="349E877C" w14:textId="77777777" w:rsidR="00E1377B" w:rsidRPr="00AC3527" w:rsidRDefault="00E1377B" w:rsidP="00E1377B">
      <w:pPr>
        <w:pBdr>
          <w:top w:val="nil"/>
          <w:left w:val="nil"/>
          <w:bottom w:val="nil"/>
          <w:right w:val="nil"/>
          <w:between w:val="nil"/>
        </w:pBdr>
        <w:ind w:left="360" w:right="-40" w:hanging="360"/>
        <w:jc w:val="both"/>
        <w:rPr>
          <w:rFonts w:eastAsia="Times New Roman"/>
          <w:color w:val="000000"/>
          <w:sz w:val="18"/>
          <w:szCs w:val="18"/>
          <w:lang w:val="en-US"/>
        </w:rPr>
      </w:pPr>
      <w:r w:rsidRPr="00AC3527">
        <w:rPr>
          <w:rFonts w:eastAsia="Times New Roman"/>
          <w:color w:val="000000"/>
          <w:sz w:val="18"/>
          <w:szCs w:val="18"/>
          <w:lang w:val="en-US"/>
        </w:rPr>
        <w:t xml:space="preserve">Dufau, C., M. Orsztynowicz, G. Dibarboure, R. Morrow (2016), P.Y. Le Traon. Mesoscale Resolution Capability of altimetry: present &amp; future. </w:t>
      </w:r>
      <w:r w:rsidRPr="00AC3527">
        <w:rPr>
          <w:rFonts w:eastAsia="Times New Roman"/>
          <w:i/>
          <w:color w:val="000000"/>
          <w:sz w:val="18"/>
          <w:szCs w:val="18"/>
          <w:lang w:val="en-US"/>
        </w:rPr>
        <w:t>J. Geophys. Res.</w:t>
      </w:r>
      <w:r w:rsidRPr="00AC3527">
        <w:rPr>
          <w:rFonts w:eastAsia="Times New Roman"/>
          <w:color w:val="000000"/>
          <w:sz w:val="18"/>
          <w:szCs w:val="18"/>
          <w:lang w:val="en-US"/>
        </w:rPr>
        <w:t xml:space="preserve"> </w:t>
      </w:r>
      <w:r w:rsidRPr="00AC3527">
        <w:rPr>
          <w:rFonts w:eastAsia="Times New Roman"/>
          <w:i/>
          <w:color w:val="000000"/>
          <w:sz w:val="18"/>
          <w:szCs w:val="18"/>
          <w:lang w:val="en-US"/>
        </w:rPr>
        <w:t xml:space="preserve">Oceans, </w:t>
      </w:r>
      <w:r w:rsidRPr="00AC3527">
        <w:rPr>
          <w:rFonts w:eastAsia="Times New Roman"/>
          <w:color w:val="000000"/>
          <w:sz w:val="18"/>
          <w:szCs w:val="18"/>
          <w:lang w:val="en-US"/>
        </w:rPr>
        <w:t>121</w:t>
      </w:r>
      <w:r w:rsidRPr="00AC3527">
        <w:rPr>
          <w:rFonts w:eastAsia="Times New Roman"/>
          <w:i/>
          <w:color w:val="000000"/>
          <w:sz w:val="18"/>
          <w:szCs w:val="18"/>
          <w:lang w:val="en-US"/>
        </w:rPr>
        <w:t xml:space="preserve">, </w:t>
      </w:r>
      <w:r w:rsidRPr="00AC3527">
        <w:rPr>
          <w:rFonts w:eastAsia="Times New Roman"/>
          <w:color w:val="000000"/>
          <w:sz w:val="18"/>
          <w:szCs w:val="18"/>
          <w:lang w:val="en-US"/>
        </w:rPr>
        <w:t>4910</w:t>
      </w:r>
      <w:r w:rsidRPr="00AC3527">
        <w:rPr>
          <w:rFonts w:eastAsia="Times New Roman"/>
          <w:i/>
          <w:color w:val="000000"/>
          <w:sz w:val="18"/>
          <w:szCs w:val="18"/>
          <w:lang w:val="en-US"/>
        </w:rPr>
        <w:t>–</w:t>
      </w:r>
      <w:r w:rsidRPr="00AC3527">
        <w:rPr>
          <w:rFonts w:eastAsia="Times New Roman"/>
          <w:color w:val="000000"/>
          <w:sz w:val="18"/>
          <w:szCs w:val="18"/>
          <w:lang w:val="en-US"/>
        </w:rPr>
        <w:t>4927</w:t>
      </w:r>
      <w:r w:rsidRPr="00AC3527">
        <w:rPr>
          <w:rFonts w:eastAsia="Times New Roman"/>
          <w:i/>
          <w:color w:val="000000"/>
          <w:sz w:val="18"/>
          <w:szCs w:val="18"/>
          <w:lang w:val="en-US"/>
        </w:rPr>
        <w:t>, doi:</w:t>
      </w:r>
      <w:r w:rsidRPr="00AC3527">
        <w:rPr>
          <w:rFonts w:eastAsia="Times New Roman"/>
          <w:color w:val="000000"/>
          <w:sz w:val="18"/>
          <w:szCs w:val="18"/>
          <w:lang w:val="en-US"/>
        </w:rPr>
        <w:t>10.1002/2015JC010904</w:t>
      </w:r>
    </w:p>
    <w:p w14:paraId="32A66FEC" w14:textId="77777777" w:rsidR="00E1377B" w:rsidRPr="00C91875" w:rsidRDefault="00E1377B" w:rsidP="00E1377B">
      <w:pPr>
        <w:pBdr>
          <w:top w:val="nil"/>
          <w:left w:val="nil"/>
          <w:bottom w:val="nil"/>
          <w:right w:val="nil"/>
          <w:between w:val="nil"/>
        </w:pBdr>
        <w:ind w:left="360" w:right="-40" w:hanging="360"/>
        <w:jc w:val="both"/>
        <w:rPr>
          <w:rFonts w:eastAsia="Times New Roman"/>
          <w:color w:val="000000"/>
          <w:sz w:val="18"/>
          <w:szCs w:val="18"/>
          <w:lang w:val="en-US"/>
        </w:rPr>
      </w:pPr>
      <w:r w:rsidRPr="00AC3527">
        <w:rPr>
          <w:rFonts w:eastAsia="Times New Roman"/>
          <w:color w:val="000000"/>
          <w:sz w:val="18"/>
          <w:szCs w:val="18"/>
          <w:lang w:val="en-US"/>
        </w:rPr>
        <w:t xml:space="preserve">Fu, L-L, D Alsdorf, E Rodriguez, R Morrow, N Mognard, J Lambin, P Vaze and T Lafon (2009) The SWOT (Surface Water and Ocean Topography) Mission: Spaceborne Radar Interferometry for Oceanographic and Hydrological Applications. </w:t>
      </w:r>
      <w:r w:rsidRPr="00AC3527">
        <w:rPr>
          <w:rFonts w:eastAsia="Times New Roman"/>
          <w:i/>
          <w:color w:val="000000"/>
          <w:sz w:val="18"/>
          <w:szCs w:val="18"/>
          <w:lang w:val="en-US"/>
        </w:rPr>
        <w:t>OCEANOBS’09 White Paper</w:t>
      </w:r>
    </w:p>
    <w:p w14:paraId="36208927" w14:textId="77777777" w:rsidR="00E1377B" w:rsidRPr="00AC3527" w:rsidRDefault="00E1377B" w:rsidP="00E1377B">
      <w:pPr>
        <w:pBdr>
          <w:top w:val="nil"/>
          <w:left w:val="nil"/>
          <w:bottom w:val="nil"/>
          <w:right w:val="nil"/>
          <w:between w:val="nil"/>
        </w:pBdr>
        <w:ind w:left="360" w:right="-40" w:hanging="360"/>
        <w:jc w:val="both"/>
        <w:rPr>
          <w:rFonts w:eastAsia="Times New Roman"/>
          <w:color w:val="000000"/>
          <w:sz w:val="18"/>
          <w:szCs w:val="18"/>
          <w:lang w:val="en-US"/>
        </w:rPr>
      </w:pPr>
      <w:r w:rsidRPr="00AC3527">
        <w:rPr>
          <w:rFonts w:eastAsia="Times New Roman"/>
          <w:color w:val="000000"/>
          <w:sz w:val="18"/>
          <w:szCs w:val="18"/>
          <w:lang w:val="en-US"/>
        </w:rPr>
        <w:t xml:space="preserve">Fu, LL., E Rodriguez, D Alsdorf, R. Morrow (eds). </w:t>
      </w:r>
      <w:r w:rsidRPr="00AC3527">
        <w:rPr>
          <w:rFonts w:eastAsia="Times New Roman"/>
          <w:color w:val="000000"/>
          <w:sz w:val="18"/>
          <w:szCs w:val="18"/>
        </w:rPr>
        <w:t xml:space="preserve">(2012). SWOT Mission Science document. </w:t>
      </w:r>
      <w:r w:rsidRPr="00AC3527">
        <w:rPr>
          <w:rFonts w:eastAsia="Times New Roman"/>
          <w:i/>
          <w:color w:val="000000"/>
          <w:sz w:val="18"/>
          <w:szCs w:val="18"/>
        </w:rPr>
        <w:t>JPL Publication.</w:t>
      </w:r>
      <w:r w:rsidRPr="00AC3527">
        <w:rPr>
          <w:rFonts w:eastAsia="Times New Roman"/>
          <w:color w:val="000000"/>
          <w:sz w:val="18"/>
          <w:szCs w:val="18"/>
        </w:rPr>
        <w:t xml:space="preserve">  </w:t>
      </w:r>
      <w:hyperlink r:id="rId10" w:history="1">
        <w:r w:rsidRPr="00AC3527">
          <w:rPr>
            <w:rStyle w:val="Lienhypertexte"/>
            <w:rFonts w:eastAsia="Times New Roman"/>
            <w:sz w:val="18"/>
            <w:szCs w:val="18"/>
            <w:lang w:val="en-US"/>
          </w:rPr>
          <w:t>https://swot.jpl.nasa.gov/files/swot/SWOT_MSD_1202012.pdf</w:t>
        </w:r>
      </w:hyperlink>
    </w:p>
    <w:p w14:paraId="6F23055E" w14:textId="77777777" w:rsidR="00E1377B" w:rsidRPr="00AC3527" w:rsidRDefault="00E1377B" w:rsidP="00E1377B">
      <w:pPr>
        <w:ind w:left="357" w:hanging="357"/>
        <w:jc w:val="both"/>
        <w:rPr>
          <w:rStyle w:val="pbtoclink"/>
          <w:sz w:val="18"/>
          <w:szCs w:val="18"/>
          <w:lang w:val="en-US"/>
        </w:rPr>
      </w:pPr>
      <w:r w:rsidRPr="00AC3527">
        <w:rPr>
          <w:rStyle w:val="pbtoclink"/>
          <w:sz w:val="18"/>
          <w:szCs w:val="18"/>
          <w:lang w:val="en-US"/>
        </w:rPr>
        <w:t xml:space="preserve">Gille, S. T., Carranza, M. M., Cambra, R., and </w:t>
      </w:r>
      <w:r w:rsidRPr="00E1377B">
        <w:rPr>
          <w:rStyle w:val="pbtoclink"/>
          <w:sz w:val="18"/>
          <w:szCs w:val="18"/>
          <w:lang w:val="en-US"/>
        </w:rPr>
        <w:t>Morrow, R.:</w:t>
      </w:r>
      <w:r w:rsidRPr="00AC3527">
        <w:rPr>
          <w:rStyle w:val="pbtoclink"/>
          <w:sz w:val="18"/>
          <w:szCs w:val="18"/>
          <w:lang w:val="en-US"/>
        </w:rPr>
        <w:t xml:space="preserve"> Wind-induced upwelling in the Kerguelen Plateau region, Biogeosciences, 11, 6389-6400, doi:10.5194/bg-11-6389-2014, 2014. </w:t>
      </w:r>
    </w:p>
    <w:p w14:paraId="4E9699C6" w14:textId="2B566266" w:rsidR="00E1377B" w:rsidRPr="00CD656D" w:rsidRDefault="00E1377B" w:rsidP="00E1377B">
      <w:pPr>
        <w:pBdr>
          <w:top w:val="nil"/>
          <w:left w:val="nil"/>
          <w:bottom w:val="nil"/>
          <w:right w:val="nil"/>
          <w:between w:val="nil"/>
        </w:pBdr>
        <w:ind w:left="360" w:right="-40" w:hanging="360"/>
        <w:jc w:val="both"/>
        <w:rPr>
          <w:rFonts w:eastAsia="Times New Roman"/>
          <w:color w:val="000000"/>
          <w:sz w:val="16"/>
          <w:szCs w:val="18"/>
          <w:lang w:val="en-US"/>
        </w:rPr>
      </w:pPr>
      <w:r w:rsidRPr="00CD656D">
        <w:rPr>
          <w:color w:val="332C34"/>
          <w:sz w:val="18"/>
          <w:lang w:val="en-GB"/>
        </w:rPr>
        <w:t xml:space="preserve">Jébri, </w:t>
      </w:r>
      <w:r>
        <w:rPr>
          <w:color w:val="332C34"/>
          <w:sz w:val="18"/>
          <w:lang w:val="en-GB"/>
        </w:rPr>
        <w:t xml:space="preserve">F., </w:t>
      </w:r>
      <w:r w:rsidRPr="00E1377B">
        <w:rPr>
          <w:rStyle w:val="lev"/>
          <w:b w:val="0"/>
          <w:sz w:val="18"/>
          <w:lang w:val="en-GB"/>
        </w:rPr>
        <w:t>F. Birol</w:t>
      </w:r>
      <w:r w:rsidRPr="00CD656D">
        <w:rPr>
          <w:color w:val="332C34"/>
          <w:sz w:val="18"/>
          <w:lang w:val="en-GB"/>
        </w:rPr>
        <w:t>, B. Zakardjian, J. Bouffard and C. Sammari, 2016:  Variability of the surface circulation observed from coastal altimetry over the Tunisian shelf (Central Mediterranean Sea). Journal of Geophysical Research Ocean, doi:10.1002/2016JC011961.</w:t>
      </w:r>
    </w:p>
    <w:p w14:paraId="02961BBF" w14:textId="0B4A5E42" w:rsidR="00E1377B" w:rsidRPr="00CD656D" w:rsidRDefault="00E1377B" w:rsidP="00E1377B">
      <w:pPr>
        <w:pBdr>
          <w:top w:val="nil"/>
          <w:left w:val="nil"/>
          <w:bottom w:val="nil"/>
          <w:right w:val="nil"/>
          <w:between w:val="nil"/>
        </w:pBdr>
        <w:ind w:left="360" w:right="-40" w:hanging="360"/>
        <w:jc w:val="both"/>
        <w:rPr>
          <w:sz w:val="16"/>
          <w:szCs w:val="18"/>
          <w:lang w:val="en-US"/>
        </w:rPr>
      </w:pPr>
      <w:r w:rsidRPr="00CD656D">
        <w:rPr>
          <w:color w:val="332C34"/>
          <w:sz w:val="18"/>
          <w:lang w:val="en-GB"/>
        </w:rPr>
        <w:t xml:space="preserve">Jébri, </w:t>
      </w:r>
      <w:r>
        <w:rPr>
          <w:color w:val="332C34"/>
          <w:sz w:val="18"/>
          <w:lang w:val="en-GB"/>
        </w:rPr>
        <w:t xml:space="preserve">F., </w:t>
      </w:r>
      <w:r w:rsidRPr="00CD656D">
        <w:rPr>
          <w:color w:val="332C34"/>
          <w:sz w:val="18"/>
          <w:lang w:val="en-GB"/>
        </w:rPr>
        <w:t xml:space="preserve">B. Zakardjian, </w:t>
      </w:r>
      <w:r w:rsidRPr="00E1377B">
        <w:rPr>
          <w:rStyle w:val="lev"/>
          <w:b w:val="0"/>
          <w:sz w:val="18"/>
          <w:lang w:val="en-GB"/>
        </w:rPr>
        <w:t>F. Birol</w:t>
      </w:r>
      <w:r w:rsidRPr="00E1377B">
        <w:rPr>
          <w:b/>
          <w:color w:val="332C34"/>
          <w:sz w:val="18"/>
          <w:lang w:val="en-GB"/>
        </w:rPr>
        <w:t>,</w:t>
      </w:r>
      <w:r w:rsidRPr="00CD656D">
        <w:rPr>
          <w:color w:val="332C34"/>
          <w:sz w:val="18"/>
          <w:lang w:val="en-GB"/>
        </w:rPr>
        <w:t xml:space="preserve"> J. Bouffard and C. Sammari, 2017:  Interannual variations of the surface currents and the volume transport in the Central Mediterranean Sea based on coastal altimetry. </w:t>
      </w:r>
      <w:r w:rsidRPr="00616057">
        <w:rPr>
          <w:color w:val="332C34"/>
          <w:sz w:val="18"/>
          <w:lang w:val="en-US"/>
        </w:rPr>
        <w:t xml:space="preserve">Journal of Geophysical Research Ocean, </w:t>
      </w:r>
      <w:r w:rsidRPr="00616057">
        <w:rPr>
          <w:rStyle w:val="article-headermeta-info-label"/>
          <w:color w:val="332C34"/>
          <w:sz w:val="18"/>
          <w:lang w:val="en-US"/>
        </w:rPr>
        <w:t>doi</w:t>
      </w:r>
      <w:r w:rsidRPr="00616057">
        <w:rPr>
          <w:rStyle w:val="article-headermeta-info-label"/>
          <w:b/>
          <w:bCs/>
          <w:color w:val="332C34"/>
          <w:sz w:val="18"/>
          <w:lang w:val="en-US"/>
        </w:rPr>
        <w:t>: </w:t>
      </w:r>
      <w:r w:rsidRPr="00616057">
        <w:rPr>
          <w:rStyle w:val="article-headermeta-info-data"/>
          <w:color w:val="332C34"/>
          <w:sz w:val="18"/>
          <w:lang w:val="en-US"/>
        </w:rPr>
        <w:t>10.1002/2017JC012836</w:t>
      </w:r>
      <w:r w:rsidRPr="00616057">
        <w:rPr>
          <w:color w:val="332C34"/>
          <w:sz w:val="18"/>
          <w:lang w:val="en-US"/>
        </w:rPr>
        <w:t>.</w:t>
      </w:r>
    </w:p>
    <w:p w14:paraId="14B138DA" w14:textId="77777777" w:rsidR="00E1377B" w:rsidRPr="00AC3527" w:rsidRDefault="00E1377B" w:rsidP="00E1377B">
      <w:pPr>
        <w:autoSpaceDE w:val="0"/>
        <w:autoSpaceDN w:val="0"/>
        <w:adjustRightInd w:val="0"/>
        <w:ind w:left="284" w:hanging="284"/>
        <w:jc w:val="both"/>
        <w:rPr>
          <w:sz w:val="18"/>
          <w:szCs w:val="18"/>
          <w:lang w:val="en-US"/>
        </w:rPr>
      </w:pPr>
      <w:r w:rsidRPr="00AC3527">
        <w:rPr>
          <w:sz w:val="18"/>
          <w:szCs w:val="18"/>
          <w:lang w:val="en-US"/>
        </w:rPr>
        <w:t xml:space="preserve">Morrow R., A Carret, F Birol, F Nino, G Valladeau, F Boy, C Bachelier, B Zakardjian (2017). </w:t>
      </w:r>
      <w:r w:rsidRPr="00AC3527">
        <w:rPr>
          <w:bCs/>
          <w:sz w:val="18"/>
          <w:szCs w:val="18"/>
          <w:lang w:val="en-US"/>
        </w:rPr>
        <w:t>Observability of fine-scale ocean dynamics in the Northwest Mediterranean Sea. Ocean Sciences 13, 13-29. Doi:10.5194/os-13-13-2017</w:t>
      </w:r>
    </w:p>
    <w:p w14:paraId="6DDEB9F7" w14:textId="77777777" w:rsidR="00E1377B" w:rsidRPr="00AC3527" w:rsidRDefault="00E1377B" w:rsidP="00E1377B">
      <w:pPr>
        <w:autoSpaceDE w:val="0"/>
        <w:autoSpaceDN w:val="0"/>
        <w:adjustRightInd w:val="0"/>
        <w:ind w:left="284" w:hanging="284"/>
        <w:jc w:val="both"/>
        <w:rPr>
          <w:sz w:val="18"/>
          <w:szCs w:val="18"/>
          <w:lang w:val="en-GB"/>
        </w:rPr>
      </w:pPr>
      <w:r w:rsidRPr="00AC3527">
        <w:rPr>
          <w:sz w:val="18"/>
          <w:szCs w:val="18"/>
          <w:lang w:val="en-US"/>
        </w:rPr>
        <w:t xml:space="preserve">Morrow, R. D. Blumstein, G. Dibarboure (2018). </w:t>
      </w:r>
      <w:r w:rsidRPr="00AC3527">
        <w:rPr>
          <w:sz w:val="18"/>
          <w:szCs w:val="18"/>
          <w:lang w:val="en-GB"/>
        </w:rPr>
        <w:t xml:space="preserve">Fine-scale altimetry and the future SWOT mission. In “New Frontiers in Operational Oceanography” GODAE Ocean View International School Special edition. 815pp, </w:t>
      </w:r>
      <w:hyperlink r:id="rId11" w:history="1">
        <w:r w:rsidRPr="00AC3527">
          <w:rPr>
            <w:rStyle w:val="Lienhypertexte"/>
            <w:sz w:val="18"/>
            <w:szCs w:val="18"/>
            <w:lang w:val="en-GB"/>
          </w:rPr>
          <w:t>https://doi.org/10.17125/gov2018</w:t>
        </w:r>
      </w:hyperlink>
    </w:p>
    <w:p w14:paraId="14913078" w14:textId="77777777" w:rsidR="00E1377B" w:rsidRPr="00AC3527" w:rsidRDefault="00E1377B" w:rsidP="00E1377B">
      <w:pPr>
        <w:autoSpaceDE w:val="0"/>
        <w:autoSpaceDN w:val="0"/>
        <w:adjustRightInd w:val="0"/>
        <w:ind w:left="284" w:hanging="284"/>
        <w:jc w:val="both"/>
        <w:rPr>
          <w:sz w:val="18"/>
          <w:szCs w:val="18"/>
          <w:lang w:val="en-GB"/>
        </w:rPr>
      </w:pPr>
      <w:r w:rsidRPr="00AC3527">
        <w:rPr>
          <w:iCs/>
          <w:sz w:val="18"/>
          <w:szCs w:val="18"/>
          <w:lang w:val="uz-Cyrl-UZ"/>
        </w:rPr>
        <w:t>Morrow,</w:t>
      </w:r>
      <w:r w:rsidRPr="00AC3527">
        <w:rPr>
          <w:iCs/>
          <w:sz w:val="18"/>
          <w:szCs w:val="18"/>
          <w:lang w:val="en-GB"/>
        </w:rPr>
        <w:t xml:space="preserve"> R.,</w:t>
      </w:r>
      <w:r w:rsidRPr="00AC3527">
        <w:rPr>
          <w:iCs/>
          <w:sz w:val="18"/>
          <w:szCs w:val="18"/>
          <w:lang w:val="uz-Cyrl-UZ"/>
        </w:rPr>
        <w:t xml:space="preserve"> L-L Fu, F Ardhuin, M Benkiran, B Chapron, E Cosme, F D’Ovidio, J. T Farrar, S T. Gille</w:t>
      </w:r>
      <w:r w:rsidRPr="00AC3527">
        <w:rPr>
          <w:iCs/>
          <w:sz w:val="18"/>
          <w:szCs w:val="18"/>
          <w:vertAlign w:val="superscript"/>
          <w:lang w:val="en-GB"/>
        </w:rPr>
        <w:t>,</w:t>
      </w:r>
      <w:r w:rsidRPr="00AC3527">
        <w:rPr>
          <w:iCs/>
          <w:sz w:val="18"/>
          <w:szCs w:val="18"/>
          <w:lang w:val="uz-Cyrl-UZ"/>
        </w:rPr>
        <w:t xml:space="preserve"> G Lapeyre, P-Y Le Traon, A Pascual, APonte, B Qiu, N Rascle, C Ubelman</w:t>
      </w:r>
      <w:r w:rsidRPr="00AC3527">
        <w:rPr>
          <w:iCs/>
          <w:sz w:val="18"/>
          <w:szCs w:val="18"/>
          <w:vertAlign w:val="superscript"/>
          <w:lang w:val="en-GB"/>
        </w:rPr>
        <w:t>n</w:t>
      </w:r>
      <w:r w:rsidRPr="00AC3527">
        <w:rPr>
          <w:iCs/>
          <w:sz w:val="18"/>
          <w:szCs w:val="18"/>
          <w:lang w:val="uz-Cyrl-UZ"/>
        </w:rPr>
        <w:t>, J Wang, E D. Zaron.</w:t>
      </w:r>
      <w:r w:rsidRPr="00AC3527">
        <w:rPr>
          <w:iCs/>
          <w:sz w:val="18"/>
          <w:szCs w:val="18"/>
          <w:lang w:val="en-GB"/>
        </w:rPr>
        <w:t xml:space="preserve"> </w:t>
      </w:r>
      <w:r w:rsidRPr="00AC3527">
        <w:rPr>
          <w:iCs/>
          <w:sz w:val="18"/>
          <w:szCs w:val="18"/>
          <w:lang w:val="en-US"/>
        </w:rPr>
        <w:t>(2019)</w:t>
      </w:r>
      <w:r w:rsidRPr="00AC3527">
        <w:rPr>
          <w:i/>
          <w:iCs/>
          <w:sz w:val="18"/>
          <w:szCs w:val="18"/>
          <w:lang w:val="uz-Cyrl-UZ"/>
        </w:rPr>
        <w:t xml:space="preserve"> </w:t>
      </w:r>
      <w:r w:rsidRPr="00AC3527">
        <w:rPr>
          <w:bCs/>
          <w:sz w:val="18"/>
          <w:szCs w:val="18"/>
          <w:lang w:val="uz-Cyrl-UZ"/>
        </w:rPr>
        <w:t>Global observations of fine-scale ocean surface topography with the Surface Water and Ocean Topography (SWOT) Mission</w:t>
      </w:r>
      <w:r w:rsidRPr="00AC3527">
        <w:rPr>
          <w:bCs/>
          <w:sz w:val="18"/>
          <w:szCs w:val="18"/>
          <w:lang w:val="en-US"/>
        </w:rPr>
        <w:t>.</w:t>
      </w:r>
      <w:r w:rsidRPr="00AC3527">
        <w:rPr>
          <w:b/>
          <w:bCs/>
          <w:sz w:val="18"/>
          <w:szCs w:val="18"/>
          <w:lang w:val="en-US"/>
        </w:rPr>
        <w:t xml:space="preserve"> </w:t>
      </w:r>
      <w:r w:rsidRPr="00AC3527">
        <w:rPr>
          <w:i/>
          <w:sz w:val="18"/>
          <w:szCs w:val="18"/>
          <w:lang w:val="en-US"/>
        </w:rPr>
        <w:t>OceanObs2019,</w:t>
      </w:r>
      <w:r w:rsidRPr="00AC3527">
        <w:rPr>
          <w:sz w:val="18"/>
          <w:szCs w:val="18"/>
          <w:lang w:val="en-US"/>
        </w:rPr>
        <w:t xml:space="preserve"> Frontiers in Marine Science. DOI: 10.3389/fmars.2019.00232</w:t>
      </w:r>
    </w:p>
    <w:p w14:paraId="20FD2943" w14:textId="77777777" w:rsidR="00E1377B" w:rsidRPr="00AC3527" w:rsidRDefault="00E1377B" w:rsidP="00E1377B">
      <w:pPr>
        <w:autoSpaceDE w:val="0"/>
        <w:autoSpaceDN w:val="0"/>
        <w:adjustRightInd w:val="0"/>
        <w:ind w:hanging="567"/>
        <w:jc w:val="both"/>
        <w:rPr>
          <w:sz w:val="18"/>
          <w:szCs w:val="18"/>
          <w:lang w:val="en-US"/>
        </w:rPr>
      </w:pPr>
      <w:r w:rsidRPr="00AC3527">
        <w:rPr>
          <w:bCs/>
          <w:sz w:val="18"/>
          <w:szCs w:val="18"/>
          <w:lang w:val="en-US"/>
        </w:rPr>
        <w:t>Pegliasco, C. A. Chaigneau, R. Morrow (2015) Main eddy vertical structures observed in the four major eastern boundary upwelling systems.</w:t>
      </w:r>
      <w:r w:rsidRPr="00AC3527">
        <w:rPr>
          <w:b/>
          <w:bCs/>
          <w:sz w:val="18"/>
          <w:szCs w:val="18"/>
          <w:lang w:val="en-US"/>
        </w:rPr>
        <w:t xml:space="preserve"> </w:t>
      </w:r>
      <w:r w:rsidRPr="00AC3527">
        <w:rPr>
          <w:i/>
          <w:sz w:val="18"/>
          <w:szCs w:val="18"/>
          <w:lang w:val="en-US"/>
        </w:rPr>
        <w:t>J. Geophys. Res.</w:t>
      </w:r>
      <w:r w:rsidRPr="00AC3527">
        <w:rPr>
          <w:sz w:val="18"/>
          <w:szCs w:val="18"/>
          <w:lang w:val="en-US"/>
        </w:rPr>
        <w:t xml:space="preserve"> </w:t>
      </w:r>
      <w:r w:rsidRPr="00AC3527">
        <w:rPr>
          <w:rFonts w:eastAsia="AdvOT65f8a23b.I"/>
          <w:color w:val="231F20"/>
          <w:sz w:val="18"/>
          <w:szCs w:val="18"/>
          <w:lang w:val="en-US"/>
        </w:rPr>
        <w:t>Oceans</w:t>
      </w:r>
      <w:r w:rsidRPr="00AC3527">
        <w:rPr>
          <w:rFonts w:eastAsia="AdvOT46dcae81"/>
          <w:color w:val="231F20"/>
          <w:sz w:val="18"/>
          <w:szCs w:val="18"/>
          <w:lang w:val="en-US"/>
        </w:rPr>
        <w:t xml:space="preserve">, </w:t>
      </w:r>
      <w:r w:rsidRPr="00AC3527">
        <w:rPr>
          <w:rFonts w:eastAsia="AdvOT65f8a23b.I"/>
          <w:color w:val="231F20"/>
          <w:sz w:val="18"/>
          <w:szCs w:val="18"/>
          <w:lang w:val="en-US"/>
        </w:rPr>
        <w:t>120</w:t>
      </w:r>
      <w:r w:rsidRPr="00AC3527">
        <w:rPr>
          <w:rFonts w:eastAsia="AdvOT46dcae81"/>
          <w:color w:val="231F20"/>
          <w:sz w:val="18"/>
          <w:szCs w:val="18"/>
          <w:lang w:val="en-US"/>
        </w:rPr>
        <w:t>, 6008–6033, doi:10.1002/2015JC010950.</w:t>
      </w:r>
    </w:p>
    <w:p w14:paraId="6FC58286" w14:textId="77777777" w:rsidR="00E1377B" w:rsidRPr="00C91875" w:rsidRDefault="00E1377B" w:rsidP="00E1377B">
      <w:pPr>
        <w:autoSpaceDE w:val="0"/>
        <w:autoSpaceDN w:val="0"/>
        <w:adjustRightInd w:val="0"/>
        <w:ind w:hanging="567"/>
        <w:jc w:val="both"/>
        <w:rPr>
          <w:sz w:val="18"/>
          <w:szCs w:val="18"/>
          <w:lang w:val="en-US"/>
        </w:rPr>
      </w:pPr>
      <w:r w:rsidRPr="00AC3527">
        <w:rPr>
          <w:sz w:val="18"/>
          <w:szCs w:val="18"/>
          <w:lang w:val="en-US"/>
        </w:rPr>
        <w:t xml:space="preserve">Rogé, M., R. Morrow, G. Dencausse (2015). Altimetric lagrangian advection to reconstruct Pacific Ocean fine scale surface tracer fields. </w:t>
      </w:r>
      <w:r w:rsidRPr="00C91875">
        <w:rPr>
          <w:i/>
          <w:sz w:val="18"/>
          <w:szCs w:val="18"/>
          <w:lang w:val="en-US"/>
        </w:rPr>
        <w:t>Ocean Dynamics</w:t>
      </w:r>
      <w:r w:rsidRPr="00C91875">
        <w:rPr>
          <w:sz w:val="18"/>
          <w:szCs w:val="18"/>
          <w:lang w:val="en-US"/>
        </w:rPr>
        <w:t xml:space="preserve"> 65:1249–1268. DOI 10.1007/s10236-015-0872-4.</w:t>
      </w:r>
    </w:p>
    <w:p w14:paraId="072D5495" w14:textId="77777777" w:rsidR="00E1377B" w:rsidRPr="00AC3527" w:rsidRDefault="00E1377B" w:rsidP="00E1377B">
      <w:pPr>
        <w:adjustRightInd w:val="0"/>
        <w:ind w:left="360" w:hanging="360"/>
        <w:jc w:val="both"/>
        <w:rPr>
          <w:color w:val="000000"/>
          <w:sz w:val="18"/>
          <w:szCs w:val="18"/>
          <w:lang w:val="en-US"/>
        </w:rPr>
      </w:pPr>
      <w:r w:rsidRPr="00AC3527">
        <w:rPr>
          <w:sz w:val="18"/>
          <w:szCs w:val="18"/>
          <w:lang w:val="en-US"/>
        </w:rPr>
        <w:t>Rogé, M.,</w:t>
      </w:r>
      <w:r w:rsidRPr="00AC3527">
        <w:rPr>
          <w:b/>
          <w:sz w:val="18"/>
          <w:szCs w:val="18"/>
          <w:lang w:val="en-US"/>
        </w:rPr>
        <w:t xml:space="preserve"> </w:t>
      </w:r>
      <w:r w:rsidRPr="00AC3527">
        <w:rPr>
          <w:sz w:val="18"/>
          <w:szCs w:val="18"/>
          <w:lang w:val="en-US"/>
        </w:rPr>
        <w:t>Morrow R ,</w:t>
      </w:r>
      <w:r w:rsidRPr="00AC3527">
        <w:rPr>
          <w:b/>
          <w:sz w:val="18"/>
          <w:szCs w:val="18"/>
          <w:lang w:val="en-US"/>
        </w:rPr>
        <w:t xml:space="preserve"> </w:t>
      </w:r>
      <w:r w:rsidRPr="00AC3527">
        <w:rPr>
          <w:sz w:val="18"/>
          <w:szCs w:val="18"/>
          <w:lang w:val="en-US"/>
        </w:rPr>
        <w:t xml:space="preserve">Ubelmann C and Dibarboure G (2017). Using a dynamical advection to reconstruct a part of the SSH evolution in the context of SWOT, application to the Mediterranean Sea. </w:t>
      </w:r>
      <w:r w:rsidRPr="00AC3527">
        <w:rPr>
          <w:i/>
          <w:sz w:val="18"/>
          <w:szCs w:val="18"/>
          <w:lang w:val="en-US"/>
        </w:rPr>
        <w:t>Ocean Dynamics</w:t>
      </w:r>
      <w:r w:rsidRPr="00AC3527">
        <w:rPr>
          <w:sz w:val="18"/>
          <w:szCs w:val="18"/>
          <w:lang w:val="en-US"/>
        </w:rPr>
        <w:t xml:space="preserve"> </w:t>
      </w:r>
      <w:r w:rsidRPr="00AC3527">
        <w:rPr>
          <w:color w:val="000000"/>
          <w:sz w:val="18"/>
          <w:szCs w:val="18"/>
          <w:lang w:val="en-US"/>
        </w:rPr>
        <w:t>(2017). Doi: 10.1007/s10236-017-1073-0.</w:t>
      </w:r>
    </w:p>
    <w:p w14:paraId="29645C25" w14:textId="62D158F6" w:rsidR="00E1377B" w:rsidRPr="00030D3D" w:rsidRDefault="00E1377B" w:rsidP="00E1377B">
      <w:pPr>
        <w:adjustRightInd w:val="0"/>
        <w:ind w:left="360" w:hanging="360"/>
        <w:jc w:val="both"/>
        <w:rPr>
          <w:color w:val="000000"/>
          <w:sz w:val="18"/>
          <w:szCs w:val="18"/>
          <w:lang w:val="en-US"/>
        </w:rPr>
      </w:pPr>
      <w:r w:rsidRPr="00AC3527">
        <w:rPr>
          <w:rFonts w:eastAsia="Times New Roman"/>
          <w:sz w:val="18"/>
          <w:szCs w:val="18"/>
          <w:lang w:val="en-US" w:eastAsia="fr-FR"/>
        </w:rPr>
        <w:t xml:space="preserve">Serazin, G. et al (2019). </w:t>
      </w:r>
      <w:r w:rsidRPr="00AC3527">
        <w:rPr>
          <w:sz w:val="18"/>
          <w:szCs w:val="18"/>
          <w:lang w:val="en-US"/>
        </w:rPr>
        <w:t xml:space="preserve">Scale-dependent analysis of in situ observations in the mesoscale to submesoscale range around New Caledonia" J. Phys. Oceanogr., </w:t>
      </w:r>
      <w:r>
        <w:rPr>
          <w:sz w:val="18"/>
          <w:szCs w:val="18"/>
          <w:lang w:val="en-US"/>
        </w:rPr>
        <w:t>in press</w:t>
      </w:r>
      <w:r w:rsidRPr="00AC3527">
        <w:rPr>
          <w:sz w:val="18"/>
          <w:szCs w:val="18"/>
          <w:lang w:val="en-US"/>
        </w:rPr>
        <w:t xml:space="preserve"> (JPO-D-19-0251)</w:t>
      </w:r>
    </w:p>
    <w:p w14:paraId="14BB534D" w14:textId="77777777" w:rsidR="00E1377B" w:rsidRPr="00AC3527" w:rsidRDefault="00E1377B" w:rsidP="00E1377B">
      <w:pPr>
        <w:ind w:left="540" w:right="72" w:hanging="540"/>
        <w:jc w:val="both"/>
        <w:rPr>
          <w:sz w:val="18"/>
          <w:szCs w:val="18"/>
          <w:lang w:val="en-US"/>
        </w:rPr>
      </w:pPr>
      <w:r w:rsidRPr="00AC3527">
        <w:rPr>
          <w:sz w:val="18"/>
          <w:szCs w:val="18"/>
          <w:lang w:val="en-US"/>
        </w:rPr>
        <w:t>Tchilibou, M., Gourdeau, L., Morrow, R., Serazin, G., Djath, B., and Lyard, F.: Spectral signatures of the tropical Pacific dynamics from model and altimetry: A focus on the meso/submesoscale range, Ocean Sci. Discuss., https://doi.org/10.5194/os-2018-49, 2018.</w:t>
      </w:r>
    </w:p>
    <w:p w14:paraId="7177662B" w14:textId="77777777" w:rsidR="00E1377B" w:rsidRPr="00AC3527" w:rsidRDefault="00E1377B" w:rsidP="00E1377B">
      <w:pPr>
        <w:jc w:val="both"/>
        <w:rPr>
          <w:rFonts w:eastAsia="Times New Roman"/>
          <w:color w:val="000000"/>
          <w:sz w:val="18"/>
          <w:szCs w:val="18"/>
          <w:lang w:val="en-US"/>
        </w:rPr>
      </w:pPr>
      <w:r w:rsidRPr="00AC3527">
        <w:rPr>
          <w:rFonts w:eastAsia="Times New Roman"/>
          <w:color w:val="000000"/>
          <w:sz w:val="18"/>
          <w:szCs w:val="18"/>
          <w:lang w:val="en-US"/>
        </w:rPr>
        <w:t>Ubelmann and Fu, 2014</w:t>
      </w:r>
    </w:p>
    <w:p w14:paraId="3A9245B0" w14:textId="400C00BB" w:rsidR="00E1377B" w:rsidRPr="00E64397" w:rsidRDefault="00E1377B" w:rsidP="00E64397">
      <w:pPr>
        <w:ind w:left="540" w:right="72" w:hanging="540"/>
        <w:jc w:val="both"/>
        <w:rPr>
          <w:sz w:val="18"/>
          <w:szCs w:val="18"/>
          <w:lang w:val="en-US"/>
        </w:rPr>
      </w:pPr>
      <w:r w:rsidRPr="00AC3527">
        <w:rPr>
          <w:sz w:val="18"/>
          <w:szCs w:val="18"/>
          <w:lang w:val="en-US"/>
        </w:rPr>
        <w:t>Vergara, O., R Morrow, M.I. Pujol, G Dibarboure, C Ubelmann. Revised global wavenumber spectra from recent altimeter observations. J. Geophys. Res. do</w:t>
      </w:r>
      <w:bookmarkStart w:id="0" w:name="_GoBack"/>
      <w:bookmarkEnd w:id="0"/>
      <w:r w:rsidRPr="00AC3527">
        <w:rPr>
          <w:sz w:val="18"/>
          <w:szCs w:val="18"/>
          <w:lang w:val="en-US"/>
        </w:rPr>
        <w:t>i:10.1029/2018JC014844</w:t>
      </w:r>
    </w:p>
    <w:sectPr w:rsidR="00E1377B" w:rsidRPr="00E64397" w:rsidSect="004F2035">
      <w:headerReference w:type="even" r:id="rId12"/>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4898E" w14:textId="77777777" w:rsidR="00000000" w:rsidRDefault="00E64397">
      <w:r>
        <w:separator/>
      </w:r>
    </w:p>
  </w:endnote>
  <w:endnote w:type="continuationSeparator" w:id="0">
    <w:p w14:paraId="6FA1EDF0" w14:textId="77777777" w:rsidR="00000000" w:rsidRDefault="00E6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dvOT65f8a23b.I">
    <w:altName w:val="MS Mincho"/>
    <w:panose1 w:val="00000000000000000000"/>
    <w:charset w:val="80"/>
    <w:family w:val="auto"/>
    <w:notTrueType/>
    <w:pitch w:val="default"/>
    <w:sig w:usb0="00000001" w:usb1="08070000" w:usb2="00000010" w:usb3="00000000" w:csb0="00020000" w:csb1="00000000"/>
  </w:font>
  <w:font w:name="AdvOT46dcae81">
    <w:altName w:val="MS Mincho"/>
    <w:panose1 w:val="00000000000000000000"/>
    <w:charset w:val="80"/>
    <w:family w:val="auto"/>
    <w:notTrueType/>
    <w:pitch w:val="default"/>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7010B" w14:textId="77777777" w:rsidR="00000000" w:rsidRDefault="00E64397">
      <w:r>
        <w:separator/>
      </w:r>
    </w:p>
  </w:footnote>
  <w:footnote w:type="continuationSeparator" w:id="0">
    <w:p w14:paraId="0AF28893" w14:textId="77777777" w:rsidR="00000000" w:rsidRDefault="00E643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8D1F1" w14:textId="77777777" w:rsidR="00901198" w:rsidRDefault="00901198" w:rsidP="00FB26B3">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0CCAED89" w14:textId="77777777" w:rsidR="00901198" w:rsidRDefault="00901198">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A2A0E" w14:textId="77777777" w:rsidR="00901198" w:rsidRDefault="00901198">
    <w:pPr>
      <w:pStyle w:val="En-tte"/>
    </w:pPr>
    <w:r>
      <w:rPr>
        <w:rStyle w:val="Numrodepage"/>
      </w:rPr>
      <w:fldChar w:fldCharType="begin"/>
    </w:r>
    <w:r>
      <w:rPr>
        <w:rStyle w:val="Numrodepage"/>
      </w:rPr>
      <w:instrText xml:space="preserve"> PAGE </w:instrText>
    </w:r>
    <w:r>
      <w:rPr>
        <w:rStyle w:val="Numrodepage"/>
      </w:rPr>
      <w:fldChar w:fldCharType="separate"/>
    </w:r>
    <w:r w:rsidR="00E64397">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E64397">
      <w:rPr>
        <w:rStyle w:val="Numrodepage"/>
        <w:noProof/>
      </w:rPr>
      <w:t>1</w:t>
    </w:r>
    <w:r>
      <w:rPr>
        <w:rStyle w:val="Numrodepage"/>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1E91"/>
    <w:multiLevelType w:val="hybridMultilevel"/>
    <w:tmpl w:val="41D60B56"/>
    <w:lvl w:ilvl="0" w:tplc="28C6A4D6">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C0662E"/>
    <w:multiLevelType w:val="hybridMultilevel"/>
    <w:tmpl w:val="09960F82"/>
    <w:lvl w:ilvl="0" w:tplc="C25A7AF8">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376946"/>
    <w:multiLevelType w:val="hybridMultilevel"/>
    <w:tmpl w:val="C402317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D8B1E4A"/>
    <w:multiLevelType w:val="hybridMultilevel"/>
    <w:tmpl w:val="B0E836E6"/>
    <w:lvl w:ilvl="0" w:tplc="1CBE1114">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C35C59"/>
    <w:multiLevelType w:val="hybridMultilevel"/>
    <w:tmpl w:val="E0605832"/>
    <w:lvl w:ilvl="0" w:tplc="D2C0C13E">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CDB6463"/>
    <w:multiLevelType w:val="hybridMultilevel"/>
    <w:tmpl w:val="3D6224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B3"/>
    <w:rsid w:val="004F2035"/>
    <w:rsid w:val="00597C3B"/>
    <w:rsid w:val="005C5C5C"/>
    <w:rsid w:val="007700F1"/>
    <w:rsid w:val="00862B2F"/>
    <w:rsid w:val="00874961"/>
    <w:rsid w:val="00901198"/>
    <w:rsid w:val="00AD515A"/>
    <w:rsid w:val="00BE1742"/>
    <w:rsid w:val="00E1377B"/>
    <w:rsid w:val="00E64397"/>
    <w:rsid w:val="00F25F9E"/>
    <w:rsid w:val="00FB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0C2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B3"/>
    <w:pPr>
      <w:ind w:left="567"/>
    </w:pPr>
    <w:rPr>
      <w:rFonts w:ascii="Arial" w:eastAsia="MS Mincho" w:hAnsi="Arial" w:cs="Arial"/>
      <w:sz w:val="20"/>
      <w:szCs w:val="20"/>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B26B3"/>
    <w:pPr>
      <w:ind w:right="1134"/>
      <w:jc w:val="right"/>
    </w:pPr>
  </w:style>
  <w:style w:type="character" w:customStyle="1" w:styleId="En-tteCar">
    <w:name w:val="En-tête Car"/>
    <w:basedOn w:val="Policepardfaut"/>
    <w:link w:val="En-tte"/>
    <w:rsid w:val="00FB26B3"/>
    <w:rPr>
      <w:rFonts w:ascii="Arial" w:eastAsia="MS Mincho" w:hAnsi="Arial" w:cs="Arial"/>
      <w:sz w:val="20"/>
      <w:szCs w:val="20"/>
      <w:lang w:val="fr-FR" w:eastAsia="ja-JP"/>
    </w:rPr>
  </w:style>
  <w:style w:type="character" w:styleId="Numrodepage">
    <w:name w:val="page number"/>
    <w:basedOn w:val="Policepardfaut"/>
    <w:rsid w:val="00FB26B3"/>
  </w:style>
  <w:style w:type="paragraph" w:styleId="Paragraphedeliste">
    <w:name w:val="List Paragraph"/>
    <w:basedOn w:val="Normal"/>
    <w:uiPriority w:val="34"/>
    <w:qFormat/>
    <w:rsid w:val="005C5C5C"/>
    <w:pPr>
      <w:ind w:left="720"/>
      <w:contextualSpacing/>
    </w:pPr>
  </w:style>
  <w:style w:type="paragraph" w:styleId="Textedebulles">
    <w:name w:val="Balloon Text"/>
    <w:basedOn w:val="Normal"/>
    <w:link w:val="TextedebullesCar"/>
    <w:uiPriority w:val="99"/>
    <w:semiHidden/>
    <w:unhideWhenUsed/>
    <w:rsid w:val="005C5C5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C5C5C"/>
    <w:rPr>
      <w:rFonts w:ascii="Lucida Grande" w:eastAsia="MS Mincho" w:hAnsi="Lucida Grande" w:cs="Lucida Grande"/>
      <w:sz w:val="18"/>
      <w:szCs w:val="18"/>
      <w:lang w:val="fr-FR" w:eastAsia="ja-JP"/>
    </w:rPr>
  </w:style>
  <w:style w:type="paragraph" w:customStyle="1" w:styleId="Listecouleur-Accent11">
    <w:name w:val="Liste couleur - Accent 11"/>
    <w:basedOn w:val="Normal"/>
    <w:uiPriority w:val="34"/>
    <w:qFormat/>
    <w:rsid w:val="00BE1742"/>
    <w:pPr>
      <w:ind w:left="720"/>
      <w:contextualSpacing/>
    </w:pPr>
    <w:rPr>
      <w:rFonts w:ascii="Cambria" w:hAnsi="Cambria" w:cs="Times New Roman"/>
      <w:sz w:val="24"/>
      <w:szCs w:val="24"/>
      <w:lang w:eastAsia="fr-FR"/>
    </w:rPr>
  </w:style>
  <w:style w:type="table" w:styleId="Grille">
    <w:name w:val="Table Grid"/>
    <w:basedOn w:val="TableauNormal"/>
    <w:uiPriority w:val="59"/>
    <w:rsid w:val="00BE1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semiHidden/>
    <w:rsid w:val="00E1377B"/>
    <w:pPr>
      <w:spacing w:after="120" w:line="240" w:lineRule="atLeast"/>
    </w:pPr>
    <w:rPr>
      <w:sz w:val="16"/>
      <w:szCs w:val="16"/>
    </w:rPr>
  </w:style>
  <w:style w:type="character" w:customStyle="1" w:styleId="CommentaireCar">
    <w:name w:val="Commentaire Car"/>
    <w:basedOn w:val="Policepardfaut"/>
    <w:link w:val="Commentaire"/>
    <w:semiHidden/>
    <w:rsid w:val="00E1377B"/>
    <w:rPr>
      <w:rFonts w:ascii="Arial" w:eastAsia="MS Mincho" w:hAnsi="Arial" w:cs="Arial"/>
      <w:sz w:val="16"/>
      <w:szCs w:val="16"/>
      <w:lang w:val="fr-FR" w:eastAsia="ja-JP"/>
    </w:rPr>
  </w:style>
  <w:style w:type="character" w:styleId="lev">
    <w:name w:val="Strong"/>
    <w:uiPriority w:val="22"/>
    <w:qFormat/>
    <w:rsid w:val="00E1377B"/>
    <w:rPr>
      <w:b/>
      <w:bCs/>
    </w:rPr>
  </w:style>
  <w:style w:type="character" w:styleId="Lienhypertexte">
    <w:name w:val="Hyperlink"/>
    <w:uiPriority w:val="99"/>
    <w:rsid w:val="00E1377B"/>
    <w:rPr>
      <w:color w:val="0000FF"/>
      <w:u w:val="single"/>
    </w:rPr>
  </w:style>
  <w:style w:type="character" w:customStyle="1" w:styleId="pbtoclink">
    <w:name w:val="pb_toc_link"/>
    <w:rsid w:val="00E1377B"/>
  </w:style>
  <w:style w:type="character" w:styleId="Accentuation">
    <w:name w:val="Emphasis"/>
    <w:uiPriority w:val="20"/>
    <w:qFormat/>
    <w:rsid w:val="00E1377B"/>
    <w:rPr>
      <w:i/>
      <w:iCs/>
    </w:rPr>
  </w:style>
  <w:style w:type="character" w:customStyle="1" w:styleId="st">
    <w:name w:val="st"/>
    <w:rsid w:val="00E1377B"/>
  </w:style>
  <w:style w:type="character" w:customStyle="1" w:styleId="article-headermeta-info-label">
    <w:name w:val="article-headermeta-info-label"/>
    <w:basedOn w:val="Policepardfaut"/>
    <w:rsid w:val="00E1377B"/>
  </w:style>
  <w:style w:type="character" w:customStyle="1" w:styleId="article-headermeta-info-data">
    <w:name w:val="article-headermeta-info-data"/>
    <w:basedOn w:val="Policepardfaut"/>
    <w:rsid w:val="00E137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6B3"/>
    <w:pPr>
      <w:ind w:left="567"/>
    </w:pPr>
    <w:rPr>
      <w:rFonts w:ascii="Arial" w:eastAsia="MS Mincho" w:hAnsi="Arial" w:cs="Arial"/>
      <w:sz w:val="20"/>
      <w:szCs w:val="20"/>
      <w:lang w:val="fr-FR"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B26B3"/>
    <w:pPr>
      <w:ind w:right="1134"/>
      <w:jc w:val="right"/>
    </w:pPr>
  </w:style>
  <w:style w:type="character" w:customStyle="1" w:styleId="En-tteCar">
    <w:name w:val="En-tête Car"/>
    <w:basedOn w:val="Policepardfaut"/>
    <w:link w:val="En-tte"/>
    <w:rsid w:val="00FB26B3"/>
    <w:rPr>
      <w:rFonts w:ascii="Arial" w:eastAsia="MS Mincho" w:hAnsi="Arial" w:cs="Arial"/>
      <w:sz w:val="20"/>
      <w:szCs w:val="20"/>
      <w:lang w:val="fr-FR" w:eastAsia="ja-JP"/>
    </w:rPr>
  </w:style>
  <w:style w:type="character" w:styleId="Numrodepage">
    <w:name w:val="page number"/>
    <w:basedOn w:val="Policepardfaut"/>
    <w:rsid w:val="00FB26B3"/>
  </w:style>
  <w:style w:type="paragraph" w:styleId="Paragraphedeliste">
    <w:name w:val="List Paragraph"/>
    <w:basedOn w:val="Normal"/>
    <w:uiPriority w:val="34"/>
    <w:qFormat/>
    <w:rsid w:val="005C5C5C"/>
    <w:pPr>
      <w:ind w:left="720"/>
      <w:contextualSpacing/>
    </w:pPr>
  </w:style>
  <w:style w:type="paragraph" w:styleId="Textedebulles">
    <w:name w:val="Balloon Text"/>
    <w:basedOn w:val="Normal"/>
    <w:link w:val="TextedebullesCar"/>
    <w:uiPriority w:val="99"/>
    <w:semiHidden/>
    <w:unhideWhenUsed/>
    <w:rsid w:val="005C5C5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C5C5C"/>
    <w:rPr>
      <w:rFonts w:ascii="Lucida Grande" w:eastAsia="MS Mincho" w:hAnsi="Lucida Grande" w:cs="Lucida Grande"/>
      <w:sz w:val="18"/>
      <w:szCs w:val="18"/>
      <w:lang w:val="fr-FR" w:eastAsia="ja-JP"/>
    </w:rPr>
  </w:style>
  <w:style w:type="paragraph" w:customStyle="1" w:styleId="Listecouleur-Accent11">
    <w:name w:val="Liste couleur - Accent 11"/>
    <w:basedOn w:val="Normal"/>
    <w:uiPriority w:val="34"/>
    <w:qFormat/>
    <w:rsid w:val="00BE1742"/>
    <w:pPr>
      <w:ind w:left="720"/>
      <w:contextualSpacing/>
    </w:pPr>
    <w:rPr>
      <w:rFonts w:ascii="Cambria" w:hAnsi="Cambria" w:cs="Times New Roman"/>
      <w:sz w:val="24"/>
      <w:szCs w:val="24"/>
      <w:lang w:eastAsia="fr-FR"/>
    </w:rPr>
  </w:style>
  <w:style w:type="table" w:styleId="Grille">
    <w:name w:val="Table Grid"/>
    <w:basedOn w:val="TableauNormal"/>
    <w:uiPriority w:val="59"/>
    <w:rsid w:val="00BE1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semiHidden/>
    <w:rsid w:val="00E1377B"/>
    <w:pPr>
      <w:spacing w:after="120" w:line="240" w:lineRule="atLeast"/>
    </w:pPr>
    <w:rPr>
      <w:sz w:val="16"/>
      <w:szCs w:val="16"/>
    </w:rPr>
  </w:style>
  <w:style w:type="character" w:customStyle="1" w:styleId="CommentaireCar">
    <w:name w:val="Commentaire Car"/>
    <w:basedOn w:val="Policepardfaut"/>
    <w:link w:val="Commentaire"/>
    <w:semiHidden/>
    <w:rsid w:val="00E1377B"/>
    <w:rPr>
      <w:rFonts w:ascii="Arial" w:eastAsia="MS Mincho" w:hAnsi="Arial" w:cs="Arial"/>
      <w:sz w:val="16"/>
      <w:szCs w:val="16"/>
      <w:lang w:val="fr-FR" w:eastAsia="ja-JP"/>
    </w:rPr>
  </w:style>
  <w:style w:type="character" w:styleId="lev">
    <w:name w:val="Strong"/>
    <w:uiPriority w:val="22"/>
    <w:qFormat/>
    <w:rsid w:val="00E1377B"/>
    <w:rPr>
      <w:b/>
      <w:bCs/>
    </w:rPr>
  </w:style>
  <w:style w:type="character" w:styleId="Lienhypertexte">
    <w:name w:val="Hyperlink"/>
    <w:uiPriority w:val="99"/>
    <w:rsid w:val="00E1377B"/>
    <w:rPr>
      <w:color w:val="0000FF"/>
      <w:u w:val="single"/>
    </w:rPr>
  </w:style>
  <w:style w:type="character" w:customStyle="1" w:styleId="pbtoclink">
    <w:name w:val="pb_toc_link"/>
    <w:rsid w:val="00E1377B"/>
  </w:style>
  <w:style w:type="character" w:styleId="Accentuation">
    <w:name w:val="Emphasis"/>
    <w:uiPriority w:val="20"/>
    <w:qFormat/>
    <w:rsid w:val="00E1377B"/>
    <w:rPr>
      <w:i/>
      <w:iCs/>
    </w:rPr>
  </w:style>
  <w:style w:type="character" w:customStyle="1" w:styleId="st">
    <w:name w:val="st"/>
    <w:rsid w:val="00E1377B"/>
  </w:style>
  <w:style w:type="character" w:customStyle="1" w:styleId="article-headermeta-info-label">
    <w:name w:val="article-headermeta-info-label"/>
    <w:basedOn w:val="Policepardfaut"/>
    <w:rsid w:val="00E1377B"/>
  </w:style>
  <w:style w:type="character" w:customStyle="1" w:styleId="article-headermeta-info-data">
    <w:name w:val="article-headermeta-info-data"/>
    <w:basedOn w:val="Policepardfaut"/>
    <w:rsid w:val="00E1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873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7125/gov2018"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s://swot.jpl.nasa.gov/files/swot/SWOT_MSD_1202012.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2035</Words>
  <Characters>11195</Characters>
  <Application>Microsoft Macintosh Word</Application>
  <DocSecurity>0</DocSecurity>
  <Lines>93</Lines>
  <Paragraphs>26</Paragraphs>
  <ScaleCrop>false</ScaleCrop>
  <Company/>
  <LinksUpToDate>false</LinksUpToDate>
  <CharactersWithSpaces>13204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dc:creator>
  <cp:keywords/>
  <dc:description/>
  <cp:lastModifiedBy>Rosemary</cp:lastModifiedBy>
  <cp:revision>6</cp:revision>
  <dcterms:created xsi:type="dcterms:W3CDTF">2020-06-29T13:55:00Z</dcterms:created>
  <dcterms:modified xsi:type="dcterms:W3CDTF">2020-07-20T16:30:00Z</dcterms:modified>
</cp:coreProperties>
</file>